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宋体" w:hAnsi="宋体" w:eastAsia="宋体" w:cs="宋体"/>
          <w:sz w:val="44"/>
          <w:szCs w:val="44"/>
        </w:rPr>
      </w:pPr>
      <w:r>
        <w:rPr>
          <w:rFonts w:hint="eastAsia" w:ascii="宋体" w:hAnsi="宋体" w:eastAsia="宋体" w:cs="宋体"/>
          <w:sz w:val="44"/>
          <w:szCs w:val="44"/>
        </w:rPr>
        <w:t>招标文件</w:t>
      </w:r>
    </w:p>
    <w:p>
      <w:pPr>
        <w:pStyle w:val="4"/>
        <w:rPr>
          <w:rFonts w:hint="eastAsia" w:ascii="宋体" w:hAnsi="宋体" w:eastAsia="宋体" w:cs="宋体"/>
          <w:sz w:val="28"/>
          <w:szCs w:val="28"/>
          <w:lang w:eastAsia="zh-Hans"/>
        </w:rPr>
      </w:pPr>
      <w:r>
        <w:rPr>
          <w:rFonts w:hint="eastAsia" w:ascii="宋体" w:hAnsi="宋体" w:eastAsia="宋体" w:cs="宋体"/>
          <w:sz w:val="28"/>
          <w:szCs w:val="28"/>
          <w:lang w:eastAsia="zh-Hans"/>
        </w:rPr>
        <w:t>第一章 招标公告</w:t>
      </w: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一、招标背景</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杭州兑吧网络科技有限公司（以下简称“兑吧”），是中国领先的用户运营SaaS服务商,为全行业提供数字时代所需的在线用户服务能力，累计服务超过万家企事业单位。根据兑吧目前业务发展需求</w:t>
      </w:r>
      <w:r>
        <w:rPr>
          <w:rFonts w:hint="eastAsia" w:ascii="宋体" w:hAnsi="宋体" w:eastAsia="宋体" w:cs="宋体"/>
          <w:color w:val="000000"/>
          <w:sz w:val="21"/>
          <w:szCs w:val="21"/>
        </w:rPr>
        <w:t>，现对</w:t>
      </w:r>
      <w:r>
        <w:rPr>
          <w:rFonts w:hint="eastAsia" w:ascii="宋体" w:hAnsi="宋体" w:eastAsia="宋体" w:cs="宋体"/>
          <w:color w:val="000000"/>
          <w:sz w:val="21"/>
          <w:szCs w:val="21"/>
          <w:lang w:val="en-US" w:eastAsia="zh-Hans"/>
        </w:rPr>
        <w:t>直播业务代运营合作供应</w:t>
      </w:r>
      <w:r>
        <w:rPr>
          <w:rFonts w:hint="eastAsia" w:ascii="宋体" w:hAnsi="宋体" w:eastAsia="宋体" w:cs="宋体"/>
          <w:color w:val="000000"/>
          <w:sz w:val="21"/>
          <w:szCs w:val="21"/>
        </w:rPr>
        <w:t>商进行公开招标，欢迎合格的供应商前来投标。</w:t>
      </w:r>
    </w:p>
    <w:p>
      <w:pPr>
        <w:rPr>
          <w:rFonts w:hint="eastAsia" w:ascii="宋体" w:hAnsi="宋体" w:eastAsia="宋体" w:cs="宋体"/>
          <w:color w:val="000000"/>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二、招标项目说明</w:t>
      </w:r>
    </w:p>
    <w:p>
      <w:pPr>
        <w:widowControl w:val="0"/>
        <w:numPr>
          <w:ilvl w:val="0"/>
          <w:numId w:val="1"/>
        </w:numPr>
        <w:adjustRightInd w:val="0"/>
        <w:spacing w:line="360" w:lineRule="auto"/>
        <w:ind w:firstLineChars="200"/>
        <w:jc w:val="both"/>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招标人：杭州兑吧网络科技有限公司</w:t>
      </w:r>
    </w:p>
    <w:p>
      <w:pPr>
        <w:widowControl w:val="0"/>
        <w:numPr>
          <w:ilvl w:val="0"/>
          <w:numId w:val="1"/>
        </w:numPr>
        <w:adjustRightInd w:val="0"/>
        <w:spacing w:line="360" w:lineRule="auto"/>
        <w:ind w:firstLineChars="200"/>
        <w:jc w:val="both"/>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项目名称：杭州兑吧网络科技有限公司</w:t>
      </w:r>
      <w:r>
        <w:rPr>
          <w:rFonts w:hint="eastAsia" w:ascii="宋体" w:hAnsi="宋体" w:eastAsia="宋体" w:cs="宋体"/>
          <w:color w:val="000000"/>
          <w:sz w:val="21"/>
          <w:szCs w:val="21"/>
          <w:lang w:val="en-US" w:eastAsia="zh-Hans"/>
        </w:rPr>
        <w:t>直播业务代运营合作供应</w:t>
      </w:r>
      <w:r>
        <w:rPr>
          <w:rFonts w:hint="eastAsia" w:ascii="宋体" w:hAnsi="宋体" w:eastAsia="宋体" w:cs="宋体"/>
          <w:color w:val="000000"/>
          <w:sz w:val="21"/>
          <w:szCs w:val="21"/>
        </w:rPr>
        <w:t>商入库</w:t>
      </w:r>
    </w:p>
    <w:p>
      <w:pPr>
        <w:widowControl w:val="0"/>
        <w:numPr>
          <w:ilvl w:val="0"/>
          <w:numId w:val="1"/>
        </w:numPr>
        <w:adjustRightInd w:val="0"/>
        <w:spacing w:line="360" w:lineRule="auto"/>
        <w:ind w:firstLineChars="200"/>
        <w:jc w:val="both"/>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合作方式：项目选定供应商库，并签订</w:t>
      </w:r>
      <w:r>
        <w:rPr>
          <w:rFonts w:hint="eastAsia" w:ascii="宋体" w:hAnsi="宋体" w:eastAsia="宋体" w:cs="宋体"/>
          <w:color w:val="000000"/>
          <w:sz w:val="21"/>
          <w:szCs w:val="21"/>
          <w:lang w:val="en-US" w:eastAsia="zh-Hans"/>
        </w:rPr>
        <w:t>年框</w:t>
      </w:r>
      <w:r>
        <w:rPr>
          <w:rFonts w:hint="eastAsia" w:ascii="宋体" w:hAnsi="宋体" w:eastAsia="宋体" w:cs="宋体"/>
          <w:color w:val="000000"/>
          <w:sz w:val="21"/>
          <w:szCs w:val="21"/>
        </w:rPr>
        <w:t>合作协议，日后定期</w:t>
      </w:r>
      <w:r>
        <w:rPr>
          <w:rFonts w:hint="eastAsia" w:ascii="宋体" w:hAnsi="宋体" w:eastAsia="宋体" w:cs="宋体"/>
          <w:color w:val="000000"/>
          <w:sz w:val="21"/>
          <w:szCs w:val="21"/>
          <w:lang w:val="en-US" w:eastAsia="zh-Hans"/>
        </w:rPr>
        <w:t>按照直播场次需求</w:t>
      </w:r>
      <w:r>
        <w:rPr>
          <w:rFonts w:hint="eastAsia" w:ascii="宋体" w:hAnsi="宋体" w:eastAsia="宋体" w:cs="宋体"/>
          <w:color w:val="000000"/>
          <w:sz w:val="21"/>
          <w:szCs w:val="21"/>
        </w:rPr>
        <w:t>进行</w:t>
      </w:r>
      <w:r>
        <w:rPr>
          <w:rFonts w:hint="eastAsia" w:ascii="宋体" w:hAnsi="宋体" w:eastAsia="宋体" w:cs="宋体"/>
          <w:color w:val="000000"/>
          <w:sz w:val="21"/>
          <w:szCs w:val="21"/>
          <w:lang w:val="en-US" w:eastAsia="zh-Hans"/>
        </w:rPr>
        <w:t>直播运营合作</w:t>
      </w:r>
      <w:r>
        <w:rPr>
          <w:rFonts w:hint="eastAsia" w:ascii="宋体" w:hAnsi="宋体" w:eastAsia="宋体" w:cs="宋体"/>
          <w:color w:val="000000"/>
          <w:sz w:val="21"/>
          <w:szCs w:val="21"/>
        </w:rPr>
        <w:t>、以实际</w:t>
      </w:r>
      <w:r>
        <w:rPr>
          <w:rFonts w:hint="eastAsia" w:ascii="宋体" w:hAnsi="宋体" w:eastAsia="宋体" w:cs="宋体"/>
          <w:color w:val="000000"/>
          <w:sz w:val="21"/>
          <w:szCs w:val="21"/>
          <w:lang w:val="en-US" w:eastAsia="zh-Hans"/>
        </w:rPr>
        <w:t>合作</w:t>
      </w:r>
      <w:r>
        <w:rPr>
          <w:rFonts w:hint="eastAsia" w:ascii="宋体" w:hAnsi="宋体" w:eastAsia="宋体" w:cs="宋体"/>
          <w:color w:val="000000"/>
          <w:sz w:val="21"/>
          <w:szCs w:val="21"/>
        </w:rPr>
        <w:t>金额月度结算。同时制定供应商准入及退出管理机制，进行考核。</w:t>
      </w:r>
    </w:p>
    <w:p>
      <w:pPr>
        <w:pStyle w:val="2"/>
        <w:numPr>
          <w:ilvl w:val="0"/>
          <w:numId w:val="1"/>
        </w:numPr>
        <w:ind w:firstLineChars="200"/>
        <w:rPr>
          <w:rFonts w:hint="eastAsia" w:ascii="宋体" w:hAnsi="宋体" w:eastAsia="宋体" w:cs="宋体"/>
          <w:color w:val="000000"/>
          <w:sz w:val="21"/>
          <w:szCs w:val="21"/>
          <w:lang w:eastAsia="zh-Hans"/>
        </w:rPr>
      </w:pPr>
      <w:r>
        <w:rPr>
          <w:rFonts w:hint="eastAsia" w:ascii="宋体" w:hAnsi="宋体" w:eastAsia="宋体" w:cs="宋体"/>
          <w:color w:val="000000"/>
          <w:sz w:val="21"/>
          <w:szCs w:val="21"/>
          <w:lang w:eastAsia="zh-Hans"/>
        </w:rPr>
        <w:t>招标流程：</w:t>
      </w:r>
    </w:p>
    <w:p>
      <w:pPr>
        <w:keepNext w:val="0"/>
        <w:keepLines w:val="0"/>
        <w:widowControl/>
        <w:suppressLineNumbers w:val="0"/>
        <w:jc w:val="left"/>
        <w:rPr>
          <w:rFonts w:hint="eastAsia" w:ascii="宋体" w:hAnsi="宋体" w:eastAsia="宋体" w:cs="宋体"/>
          <w:color w:val="000000"/>
          <w:sz w:val="21"/>
          <w:szCs w:val="21"/>
          <w:lang w:eastAsia="zh-Hans"/>
        </w:rPr>
      </w:pPr>
      <w:r>
        <w:rPr>
          <w:rFonts w:hint="eastAsia" w:ascii="宋体" w:hAnsi="宋体" w:eastAsia="宋体" w:cs="宋体"/>
          <w:color w:val="000000"/>
          <w:sz w:val="21"/>
          <w:szCs w:val="21"/>
          <w:lang w:eastAsia="zh-Hans"/>
        </w:rPr>
        <w:t xml:space="preserve">    1）资格审查，招标公告发布起至</w:t>
      </w:r>
      <w:r>
        <w:rPr>
          <w:rFonts w:hint="eastAsia" w:ascii="宋体" w:hAnsi="宋体" w:eastAsia="宋体" w:cs="宋体"/>
          <w:b/>
          <w:bCs/>
          <w:color w:val="000000"/>
          <w:sz w:val="21"/>
          <w:szCs w:val="21"/>
          <w:lang w:eastAsia="zh-Hans"/>
        </w:rPr>
        <w:t>20</w:t>
      </w:r>
      <w:r>
        <w:rPr>
          <w:rFonts w:hint="eastAsia" w:ascii="宋体" w:hAnsi="宋体" w:eastAsia="宋体" w:cs="宋体"/>
          <w:b/>
          <w:bCs/>
          <w:color w:val="000000"/>
          <w:sz w:val="21"/>
          <w:szCs w:val="21"/>
          <w:highlight w:val="none"/>
          <w:lang w:eastAsia="zh-Hans"/>
        </w:rPr>
        <w:t>23年1</w:t>
      </w:r>
      <w:r>
        <w:rPr>
          <w:rFonts w:hint="eastAsia" w:ascii="宋体" w:hAnsi="宋体" w:eastAsia="宋体" w:cs="宋体"/>
          <w:b/>
          <w:bCs/>
          <w:color w:val="000000"/>
          <w:sz w:val="21"/>
          <w:szCs w:val="21"/>
          <w:lang w:eastAsia="zh-Hans"/>
        </w:rPr>
        <w:t>月5日止</w:t>
      </w:r>
      <w:r>
        <w:rPr>
          <w:rFonts w:hint="eastAsia" w:ascii="宋体" w:hAnsi="宋体" w:eastAsia="宋体" w:cs="宋体"/>
          <w:color w:val="000000"/>
          <w:sz w:val="21"/>
          <w:szCs w:val="21"/>
          <w:lang w:eastAsia="zh-Hans"/>
        </w:rPr>
        <w:t>，投标人将除简介方案PPT外其他电子版资料发送至招标人指定邮箱：</w:t>
      </w:r>
      <w:r>
        <w:rPr>
          <w:rFonts w:hint="eastAsia" w:ascii="宋体" w:hAnsi="宋体" w:eastAsia="宋体" w:cs="宋体"/>
          <w:color w:val="000000"/>
          <w:kern w:val="0"/>
          <w:sz w:val="21"/>
          <w:szCs w:val="21"/>
          <w:lang w:val="en-US" w:eastAsia="zh-CN" w:bidi="ar"/>
        </w:rPr>
        <w:t>dbcg@duiba.com.cn</w:t>
      </w:r>
      <w:r>
        <w:rPr>
          <w:rFonts w:hint="eastAsia" w:ascii="宋体" w:hAnsi="宋体" w:eastAsia="宋体" w:cs="宋体"/>
          <w:color w:val="000000"/>
          <w:kern w:val="0"/>
          <w:sz w:val="21"/>
          <w:szCs w:val="21"/>
          <w:lang w:val="en-US" w:eastAsia="zh-Hans" w:bidi="ar"/>
        </w:rPr>
        <w:t>。</w:t>
      </w:r>
    </w:p>
    <w:p>
      <w:pPr>
        <w:pStyle w:val="2"/>
        <w:numPr>
          <w:ilvl w:val="0"/>
          <w:numId w:val="0"/>
        </w:numPr>
        <w:ind w:leftChars="0"/>
        <w:rPr>
          <w:rFonts w:hint="eastAsia" w:ascii="宋体" w:hAnsi="宋体" w:eastAsia="宋体" w:cs="宋体"/>
          <w:color w:val="000000"/>
          <w:sz w:val="21"/>
          <w:szCs w:val="21"/>
          <w:lang w:eastAsia="zh-Hans"/>
        </w:rPr>
      </w:pPr>
      <w:r>
        <w:rPr>
          <w:rFonts w:hint="eastAsia" w:ascii="宋体" w:hAnsi="宋体" w:eastAsia="宋体" w:cs="宋体"/>
          <w:color w:val="000000"/>
          <w:sz w:val="21"/>
          <w:szCs w:val="21"/>
          <w:lang w:eastAsia="zh-Hans"/>
        </w:rPr>
        <w:t xml:space="preserve">    2）招标人通过内部审查后，通过审查无误后，邮箱回复确认入围，于</w:t>
      </w:r>
      <w:r>
        <w:rPr>
          <w:rFonts w:hint="eastAsia" w:ascii="宋体" w:hAnsi="宋体" w:eastAsia="宋体" w:cs="宋体"/>
          <w:b/>
          <w:bCs/>
          <w:color w:val="000000"/>
          <w:sz w:val="21"/>
          <w:szCs w:val="21"/>
          <w:lang w:eastAsia="zh-Hans"/>
        </w:rPr>
        <w:t>2023年1月 9日</w:t>
      </w:r>
      <w:r>
        <w:rPr>
          <w:rFonts w:hint="eastAsia" w:ascii="宋体" w:hAnsi="宋体" w:eastAsia="宋体" w:cs="宋体"/>
          <w:color w:val="000000"/>
          <w:sz w:val="21"/>
          <w:szCs w:val="21"/>
          <w:lang w:eastAsia="zh-Hans"/>
        </w:rPr>
        <w:t>携带纸质版投标密封文件进行现场方案讲解并答疑</w:t>
      </w:r>
      <w:r>
        <w:rPr>
          <w:rFonts w:hint="eastAsia" w:cs="宋体"/>
          <w:color w:val="000000"/>
          <w:sz w:val="21"/>
          <w:szCs w:val="21"/>
          <w:lang w:eastAsia="zh-Hans"/>
        </w:rPr>
        <w:t>，</w:t>
      </w:r>
      <w:r>
        <w:rPr>
          <w:rFonts w:hint="eastAsia" w:cs="宋体"/>
          <w:color w:val="000000"/>
          <w:sz w:val="21"/>
          <w:szCs w:val="21"/>
          <w:lang w:val="en-US" w:eastAsia="zh-Hans"/>
        </w:rPr>
        <w:t>若选择线上参加者，请于</w:t>
      </w:r>
      <w:r>
        <w:rPr>
          <w:rFonts w:hint="eastAsia" w:ascii="宋体" w:hAnsi="宋体" w:eastAsia="宋体" w:cs="宋体"/>
          <w:b/>
          <w:bCs/>
          <w:color w:val="000000"/>
          <w:sz w:val="21"/>
          <w:szCs w:val="21"/>
          <w:lang w:eastAsia="zh-Hans"/>
        </w:rPr>
        <w:t xml:space="preserve">2023年1月 </w:t>
      </w:r>
      <w:r>
        <w:rPr>
          <w:rFonts w:hint="default" w:ascii="宋体" w:hAnsi="宋体" w:eastAsia="宋体" w:cs="宋体"/>
          <w:b/>
          <w:bCs/>
          <w:color w:val="000000"/>
          <w:sz w:val="21"/>
          <w:szCs w:val="21"/>
          <w:lang w:eastAsia="zh-Hans"/>
        </w:rPr>
        <w:t>9</w:t>
      </w:r>
      <w:r>
        <w:rPr>
          <w:rFonts w:hint="eastAsia" w:ascii="宋体" w:hAnsi="宋体" w:eastAsia="宋体" w:cs="宋体"/>
          <w:b/>
          <w:bCs/>
          <w:color w:val="000000"/>
          <w:sz w:val="21"/>
          <w:szCs w:val="21"/>
          <w:lang w:eastAsia="zh-Hans"/>
        </w:rPr>
        <w:t>日</w:t>
      </w:r>
      <w:r>
        <w:rPr>
          <w:rFonts w:hint="eastAsia" w:ascii="宋体" w:hAnsi="宋体" w:eastAsia="宋体" w:cs="宋体"/>
          <w:b/>
          <w:bCs/>
          <w:color w:val="000000"/>
          <w:sz w:val="21"/>
          <w:szCs w:val="21"/>
          <w:lang w:val="en-US" w:eastAsia="zh-Hans"/>
        </w:rPr>
        <w:t>前邮寄至兑吧，确保讲标当日邮寄送达</w:t>
      </w:r>
      <w:r>
        <w:rPr>
          <w:rFonts w:hint="eastAsia" w:ascii="宋体" w:hAnsi="宋体" w:eastAsia="宋体" w:cs="宋体"/>
          <w:color w:val="000000"/>
          <w:sz w:val="21"/>
          <w:szCs w:val="21"/>
          <w:lang w:eastAsia="zh-Hans"/>
        </w:rPr>
        <w:t>。</w:t>
      </w:r>
    </w:p>
    <w:p>
      <w:pPr>
        <w:pStyle w:val="2"/>
        <w:numPr>
          <w:ilvl w:val="0"/>
          <w:numId w:val="1"/>
        </w:numPr>
        <w:ind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Hans"/>
        </w:rPr>
        <w:t>直播合作流程</w:t>
      </w:r>
      <w:r>
        <w:rPr>
          <w:rFonts w:hint="eastAsia" w:ascii="宋体" w:hAnsi="宋体" w:eastAsia="宋体" w:cs="宋体"/>
          <w:color w:val="000000"/>
          <w:sz w:val="21"/>
          <w:szCs w:val="21"/>
        </w:rPr>
        <w:t>：</w:t>
      </w:r>
    </w:p>
    <w:p>
      <w:pPr>
        <w:pStyle w:val="2"/>
        <w:numPr>
          <w:ilvl w:val="0"/>
          <w:numId w:val="0"/>
        </w:numPr>
        <w:ind w:leftChars="200"/>
        <w:rPr>
          <w:rFonts w:hint="eastAsia" w:ascii="宋体" w:hAnsi="宋体" w:eastAsia="宋体" w:cs="宋体"/>
          <w:color w:val="000000"/>
          <w:sz w:val="21"/>
          <w:szCs w:val="21"/>
        </w:rPr>
      </w:pPr>
      <w:r>
        <w:rPr>
          <w:rFonts w:hint="eastAsia" w:ascii="宋体" w:hAnsi="宋体" w:eastAsia="宋体" w:cs="宋体"/>
          <w:color w:val="000000"/>
          <w:sz w:val="21"/>
          <w:szCs w:val="21"/>
        </w:rPr>
        <w:t>双方签订合作协议后，兑吧侧按照场次像供应商提出直播需求，供应商按照需求文档输出直播解决方案（含流量方案、选品策略、转化策略、直播流程、直播脚本、宣发文案等）并提供直播运营所需的项目人力，在兑吧自有直播小程序内完成直播需求后，按月结算。</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三、合格投标人的基本资质要求</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投标人须具有独立承担民事责任的能力。</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2020年1月1日至投标截止日，投标人具有</w:t>
      </w:r>
      <w:r>
        <w:rPr>
          <w:rFonts w:hint="eastAsia" w:ascii="宋体" w:hAnsi="宋体" w:eastAsia="宋体" w:cs="宋体"/>
          <w:sz w:val="21"/>
          <w:szCs w:val="21"/>
          <w:lang w:val="en-US" w:eastAsia="zh-Hans"/>
        </w:rPr>
        <w:t>淘宝、抖音、小红书、快手等直播平台运营或与</w:t>
      </w:r>
      <w:r>
        <w:rPr>
          <w:rFonts w:hint="eastAsia" w:ascii="宋体" w:hAnsi="宋体" w:eastAsia="宋体" w:cs="宋体"/>
          <w:sz w:val="21"/>
          <w:szCs w:val="21"/>
        </w:rPr>
        <w:t>银行、品牌零售、互联网企业</w:t>
      </w:r>
      <w:r>
        <w:rPr>
          <w:rFonts w:hint="eastAsia" w:ascii="宋体" w:hAnsi="宋体" w:eastAsia="宋体" w:cs="宋体"/>
          <w:sz w:val="21"/>
          <w:szCs w:val="21"/>
          <w:lang w:val="en-US" w:eastAsia="zh-Hans"/>
        </w:rPr>
        <w:t>有直播代运营</w:t>
      </w:r>
      <w:r>
        <w:rPr>
          <w:rFonts w:hint="eastAsia" w:ascii="宋体" w:hAnsi="宋体" w:eastAsia="宋体" w:cs="宋体"/>
          <w:sz w:val="21"/>
          <w:szCs w:val="21"/>
        </w:rPr>
        <w:t>合作案例（以合同签订时间为准，并提供合同的复印件或用户证明材料）。</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截至投标截止日，投标人未被“信用中国”网站（http://www.creditchina.gov.cn）列入失信被执行人、重大税收违法案件当事人名单、政府采购严重违法失信行为记录名单。</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投标人法定代表人、控股股东或实际控制人与兑吧高管人员及使用需求部门、采购部门关键岗位人员无夫妻、直系血亲、三代以内旁系血亲或者近姻亲关系。</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负责人为同一人或存在控股、管理关系的不同供应商，不得同时参加本项目投标。</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公司注册资</w:t>
      </w:r>
      <w:r>
        <w:rPr>
          <w:rFonts w:hint="eastAsia" w:ascii="宋体" w:hAnsi="宋体" w:eastAsia="宋体" w:cs="宋体"/>
          <w:color w:val="000000"/>
          <w:sz w:val="21"/>
          <w:szCs w:val="21"/>
        </w:rPr>
        <w:t>金100万以上</w:t>
      </w:r>
      <w:r>
        <w:rPr>
          <w:rFonts w:hint="eastAsia" w:ascii="宋体" w:hAnsi="宋体" w:eastAsia="宋体" w:cs="宋体"/>
          <w:color w:val="000000"/>
          <w:sz w:val="21"/>
          <w:szCs w:val="21"/>
          <w:lang w:eastAsia="zh-Hans"/>
        </w:rPr>
        <w:t>。</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投标人能够开具增值税专用发票，具备增值税一般纳税人资格(提供增值税一般纳税人证明资料)，且提供能够抵扣进项税额的统一发票。</w:t>
      </w:r>
    </w:p>
    <w:p>
      <w:pPr>
        <w:widowControl w:val="0"/>
        <w:numPr>
          <w:ilvl w:val="0"/>
          <w:numId w:val="2"/>
        </w:numPr>
        <w:adjustRightInd w:val="0"/>
        <w:spacing w:line="360" w:lineRule="auto"/>
        <w:ind w:left="420" w:leftChars="200" w:firstLine="0"/>
        <w:jc w:val="both"/>
        <w:textAlignment w:val="baseline"/>
        <w:rPr>
          <w:rFonts w:hint="eastAsia" w:ascii="宋体" w:hAnsi="宋体" w:eastAsia="宋体" w:cs="宋体"/>
          <w:sz w:val="21"/>
          <w:szCs w:val="21"/>
        </w:rPr>
      </w:pPr>
      <w:r>
        <w:rPr>
          <w:rFonts w:hint="eastAsia" w:ascii="宋体" w:hAnsi="宋体" w:eastAsia="宋体" w:cs="宋体"/>
          <w:sz w:val="21"/>
          <w:szCs w:val="21"/>
        </w:rPr>
        <w:t>本项目不接受联合体投标。</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四、招标文件发布</w:t>
      </w:r>
    </w:p>
    <w:p>
      <w:pPr>
        <w:widowControl w:val="0"/>
        <w:numPr>
          <w:ilvl w:val="0"/>
          <w:numId w:val="3"/>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发布时间：2022年12月30日至2023年1月5日</w:t>
      </w:r>
    </w:p>
    <w:p>
      <w:pPr>
        <w:widowControl w:val="0"/>
        <w:numPr>
          <w:ilvl w:val="0"/>
          <w:numId w:val="3"/>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投标人将所需材料发至公告中的指定邮箱地址</w:t>
      </w:r>
      <w:r>
        <w:rPr>
          <w:rFonts w:hint="eastAsia" w:ascii="宋体" w:hAnsi="宋体" w:eastAsia="宋体" w:cs="宋体"/>
          <w:sz w:val="21"/>
          <w:szCs w:val="21"/>
          <w:lang w:eastAsia="zh-Hans"/>
        </w:rPr>
        <w:t>：</w:t>
      </w:r>
      <w:r>
        <w:rPr>
          <w:rFonts w:hint="eastAsia" w:ascii="宋体" w:hAnsi="宋体" w:eastAsia="宋体" w:cs="宋体"/>
          <w:kern w:val="0"/>
          <w:sz w:val="21"/>
          <w:szCs w:val="21"/>
          <w:lang w:val="en-US" w:eastAsia="zh-CN" w:bidi="ar"/>
        </w:rPr>
        <w:t>dbcg@duiba.com.cn</w:t>
      </w:r>
      <w:r>
        <w:rPr>
          <w:rFonts w:hint="eastAsia" w:ascii="宋体" w:hAnsi="宋体" w:eastAsia="宋体" w:cs="宋体"/>
          <w:kern w:val="0"/>
          <w:sz w:val="21"/>
          <w:szCs w:val="21"/>
          <w:lang w:val="en-US" w:eastAsia="zh-Hans" w:bidi="ar"/>
        </w:rPr>
        <w:t>。</w:t>
      </w:r>
      <w:r>
        <w:rPr>
          <w:rFonts w:hint="eastAsia" w:ascii="宋体" w:hAnsi="宋体" w:eastAsia="宋体" w:cs="宋体"/>
          <w:sz w:val="21"/>
          <w:szCs w:val="21"/>
        </w:rPr>
        <w:t>通过初筛资质要求符合后，若成功入选，将以</w:t>
      </w:r>
      <w:r>
        <w:rPr>
          <w:rFonts w:hint="eastAsia" w:ascii="宋体" w:hAnsi="宋体" w:eastAsia="宋体" w:cs="宋体"/>
          <w:sz w:val="21"/>
          <w:szCs w:val="21"/>
          <w:lang w:val="en-US" w:eastAsia="zh-Hans"/>
        </w:rPr>
        <w:t>如上指定</w:t>
      </w:r>
      <w:r>
        <w:rPr>
          <w:rFonts w:hint="eastAsia" w:ascii="宋体" w:hAnsi="宋体" w:eastAsia="宋体" w:cs="宋体"/>
          <w:sz w:val="21"/>
          <w:szCs w:val="21"/>
        </w:rPr>
        <w:t>邮箱通知为准。</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五、招标说明会</w:t>
      </w:r>
    </w:p>
    <w:p>
      <w:pPr>
        <w:widowControl w:val="0"/>
        <w:numPr>
          <w:ilvl w:val="0"/>
          <w:numId w:val="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招标人将视情况需要举行项目说明会议，就本项目需求及相关要求向各投标人介绍情况。各投标人须派相关代表（项目经理及编制投标文件的商务人员等）参加会议，否则由此引起的相关后果由投标人自负。</w:t>
      </w:r>
    </w:p>
    <w:p>
      <w:pPr>
        <w:widowControl w:val="0"/>
        <w:numPr>
          <w:ilvl w:val="0"/>
          <w:numId w:val="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会议开始时间：待定</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成功入选的企业，将会在邮件通知中注明具体参加会议时间。</w:t>
      </w: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六、澄清答疑时间安排</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各投标人如果对本项目招标文件有任何澄清要求，请于2023年1月2日上午10:00前发送至邮箱；</w:t>
      </w:r>
      <w:r>
        <w:rPr>
          <w:rFonts w:hint="eastAsia" w:ascii="宋体" w:hAnsi="宋体" w:eastAsia="宋体" w:cs="宋体"/>
          <w:kern w:val="0"/>
          <w:sz w:val="21"/>
          <w:szCs w:val="21"/>
          <w:lang w:val="en-US" w:eastAsia="zh-CN" w:bidi="ar"/>
        </w:rPr>
        <w:t>dbcg@duiba.com.cn</w:t>
      </w:r>
      <w:r>
        <w:rPr>
          <w:rFonts w:hint="eastAsia" w:ascii="宋体" w:hAnsi="宋体" w:eastAsia="宋体" w:cs="宋体"/>
          <w:sz w:val="21"/>
          <w:szCs w:val="21"/>
        </w:rPr>
        <w:t>（邮件标题备注某某公司对XX项目的澄清要求）。</w:t>
      </w:r>
    </w:p>
    <w:p>
      <w:pPr>
        <w:pStyle w:val="2"/>
        <w:rPr>
          <w:rFonts w:hint="eastAsia" w:ascii="宋体" w:hAnsi="宋体" w:eastAsia="宋体" w:cs="宋体"/>
          <w:sz w:val="21"/>
          <w:szCs w:val="21"/>
        </w:rPr>
      </w:pP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Hans"/>
        </w:rPr>
        <w:t>七</w:t>
      </w:r>
      <w:r>
        <w:rPr>
          <w:rFonts w:hint="eastAsia" w:ascii="宋体" w:hAnsi="宋体" w:eastAsia="宋体" w:cs="宋体"/>
          <w:sz w:val="22"/>
          <w:szCs w:val="22"/>
        </w:rPr>
        <w:t>、开标与投标</w:t>
      </w:r>
    </w:p>
    <w:p>
      <w:pPr>
        <w:widowControl w:val="0"/>
        <w:numPr>
          <w:ilvl w:val="0"/>
          <w:numId w:val="0"/>
        </w:numPr>
        <w:adjustRightInd w:val="0"/>
        <w:spacing w:line="360" w:lineRule="auto"/>
        <w:ind w:left="400" w:leftChars="0"/>
        <w:jc w:val="both"/>
        <w:textAlignment w:val="baseline"/>
        <w:rPr>
          <w:rFonts w:hint="eastAsia" w:ascii="宋体" w:hAnsi="宋体" w:eastAsia="宋体" w:cs="宋体"/>
          <w:sz w:val="21"/>
          <w:szCs w:val="21"/>
        </w:rPr>
      </w:pPr>
      <w:r>
        <w:rPr>
          <w:rFonts w:hint="eastAsia" w:ascii="宋体" w:hAnsi="宋体" w:eastAsia="宋体" w:cs="宋体"/>
          <w:sz w:val="21"/>
          <w:szCs w:val="21"/>
        </w:rPr>
        <w:t>1. 投标文件递交时间：</w:t>
      </w:r>
      <w:r>
        <w:rPr>
          <w:rFonts w:hint="eastAsia" w:ascii="宋体" w:hAnsi="宋体" w:eastAsia="宋体" w:cs="宋体"/>
          <w:sz w:val="21"/>
          <w:szCs w:val="21"/>
          <w:lang w:val="en-US" w:eastAsia="zh-Hans"/>
        </w:rPr>
        <w:t>电子版资料截止时间为</w:t>
      </w:r>
      <w:r>
        <w:rPr>
          <w:rFonts w:hint="eastAsia" w:ascii="宋体" w:hAnsi="宋体" w:eastAsia="宋体" w:cs="宋体"/>
          <w:sz w:val="21"/>
          <w:szCs w:val="21"/>
        </w:rPr>
        <w:t>2023年1月5日</w:t>
      </w:r>
      <w:r>
        <w:rPr>
          <w:rFonts w:hint="eastAsia" w:ascii="宋体" w:hAnsi="宋体" w:eastAsia="宋体" w:cs="宋体"/>
          <w:sz w:val="21"/>
          <w:szCs w:val="21"/>
          <w:lang w:eastAsia="zh-Hans"/>
        </w:rPr>
        <w:t>18：00</w:t>
      </w:r>
      <w:r>
        <w:rPr>
          <w:rFonts w:hint="eastAsia" w:ascii="宋体" w:hAnsi="宋体" w:eastAsia="宋体" w:cs="宋体"/>
          <w:sz w:val="21"/>
          <w:szCs w:val="21"/>
          <w:lang w:val="en-US" w:eastAsia="zh-Hans"/>
        </w:rPr>
        <w:t>整</w:t>
      </w:r>
      <w:r>
        <w:rPr>
          <w:rFonts w:hint="eastAsia" w:ascii="宋体" w:hAnsi="宋体" w:eastAsia="宋体" w:cs="宋体"/>
          <w:sz w:val="21"/>
          <w:szCs w:val="21"/>
        </w:rPr>
        <w:t>。</w:t>
      </w:r>
    </w:p>
    <w:p>
      <w:pPr>
        <w:widowControl w:val="0"/>
        <w:numPr>
          <w:ilvl w:val="0"/>
          <w:numId w:val="0"/>
        </w:numPr>
        <w:adjustRightInd w:val="0"/>
        <w:spacing w:line="360" w:lineRule="auto"/>
        <w:ind w:left="420" w:leftChars="0"/>
        <w:jc w:val="both"/>
        <w:textAlignment w:val="baseline"/>
        <w:rPr>
          <w:rFonts w:hint="eastAsia" w:ascii="宋体" w:hAnsi="宋体" w:eastAsia="宋体" w:cs="宋体"/>
          <w:sz w:val="21"/>
          <w:szCs w:val="21"/>
        </w:rPr>
      </w:pPr>
      <w:r>
        <w:rPr>
          <w:rFonts w:hint="eastAsia" w:ascii="宋体" w:hAnsi="宋体" w:eastAsia="宋体" w:cs="宋体"/>
          <w:sz w:val="21"/>
          <w:szCs w:val="21"/>
        </w:rPr>
        <w:t>2.开标及递交投标文件截止时间：</w:t>
      </w:r>
      <w:r>
        <w:rPr>
          <w:rFonts w:hint="eastAsia" w:ascii="宋体" w:hAnsi="宋体" w:eastAsia="宋体" w:cs="宋体"/>
          <w:sz w:val="21"/>
          <w:szCs w:val="21"/>
          <w:lang w:val="en-US" w:eastAsia="zh-Hans"/>
        </w:rPr>
        <w:t>开标时间：</w:t>
      </w:r>
      <w:r>
        <w:rPr>
          <w:rFonts w:hint="eastAsia" w:ascii="宋体" w:hAnsi="宋体" w:eastAsia="宋体" w:cs="宋体"/>
          <w:sz w:val="21"/>
          <w:szCs w:val="21"/>
          <w:lang w:eastAsia="zh-Hans"/>
        </w:rPr>
        <w:t>2023</w:t>
      </w:r>
      <w:r>
        <w:rPr>
          <w:rFonts w:hint="eastAsia" w:ascii="宋体" w:hAnsi="宋体" w:eastAsia="宋体" w:cs="宋体"/>
          <w:sz w:val="21"/>
          <w:szCs w:val="21"/>
          <w:lang w:val="en-US" w:eastAsia="zh-Hans"/>
        </w:rPr>
        <w:t>年</w:t>
      </w:r>
      <w:r>
        <w:rPr>
          <w:rFonts w:hint="eastAsia" w:ascii="宋体" w:hAnsi="宋体" w:eastAsia="宋体" w:cs="宋体"/>
          <w:sz w:val="21"/>
          <w:szCs w:val="21"/>
          <w:lang w:eastAsia="zh-Hans"/>
        </w:rPr>
        <w:t>1</w:t>
      </w:r>
      <w:r>
        <w:rPr>
          <w:rFonts w:hint="eastAsia" w:ascii="宋体" w:hAnsi="宋体" w:eastAsia="宋体" w:cs="宋体"/>
          <w:sz w:val="21"/>
          <w:szCs w:val="21"/>
          <w:lang w:val="en-US" w:eastAsia="zh-Hans"/>
        </w:rPr>
        <w:t>月</w:t>
      </w:r>
      <w:r>
        <w:rPr>
          <w:rFonts w:hint="eastAsia" w:ascii="宋体" w:hAnsi="宋体" w:eastAsia="宋体" w:cs="宋体"/>
          <w:sz w:val="21"/>
          <w:szCs w:val="21"/>
          <w:lang w:eastAsia="zh-Hans"/>
        </w:rPr>
        <w:t>6</w:t>
      </w:r>
      <w:r>
        <w:rPr>
          <w:rFonts w:hint="eastAsia" w:ascii="宋体" w:hAnsi="宋体" w:eastAsia="宋体" w:cs="宋体"/>
          <w:sz w:val="21"/>
          <w:szCs w:val="21"/>
          <w:lang w:val="en-US" w:eastAsia="zh-Hans"/>
        </w:rPr>
        <w:t>日。</w:t>
      </w:r>
      <w:r>
        <w:rPr>
          <w:rFonts w:hint="eastAsia" w:ascii="宋体" w:hAnsi="宋体" w:eastAsia="宋体" w:cs="宋体"/>
          <w:sz w:val="21"/>
          <w:szCs w:val="21"/>
        </w:rPr>
        <w:t>逾期收到或不符合规定的投标文件恕不接受。</w:t>
      </w:r>
    </w:p>
    <w:p>
      <w:pPr>
        <w:widowControl w:val="0"/>
        <w:numPr>
          <w:ilvl w:val="0"/>
          <w:numId w:val="0"/>
        </w:numPr>
        <w:adjustRightInd w:val="0"/>
        <w:spacing w:line="360" w:lineRule="auto"/>
        <w:ind w:left="420" w:leftChars="0"/>
        <w:jc w:val="both"/>
        <w:textAlignment w:val="baseline"/>
        <w:rPr>
          <w:rFonts w:hint="eastAsia" w:ascii="宋体" w:hAnsi="宋体" w:eastAsia="宋体" w:cs="宋体"/>
          <w:sz w:val="21"/>
          <w:szCs w:val="21"/>
          <w:lang w:eastAsia="zh-Hans"/>
        </w:rPr>
      </w:pPr>
      <w:r>
        <w:rPr>
          <w:rFonts w:hint="eastAsia" w:ascii="宋体" w:hAnsi="宋体" w:eastAsia="宋体" w:cs="宋体"/>
          <w:sz w:val="21"/>
          <w:szCs w:val="21"/>
        </w:rPr>
        <w:t>3.开标及投标地点为：</w:t>
      </w:r>
      <w:r>
        <w:rPr>
          <w:rFonts w:hint="eastAsia" w:ascii="宋体" w:hAnsi="宋体" w:eastAsia="宋体" w:cs="宋体"/>
          <w:sz w:val="21"/>
          <w:szCs w:val="21"/>
          <w:lang w:val="en-US" w:eastAsia="zh-Hans"/>
        </w:rPr>
        <w:t>浙江省杭州市西湖区文一西路</w:t>
      </w:r>
      <w:r>
        <w:rPr>
          <w:rFonts w:hint="eastAsia" w:ascii="宋体" w:hAnsi="宋体" w:eastAsia="宋体" w:cs="宋体"/>
          <w:sz w:val="21"/>
          <w:szCs w:val="21"/>
          <w:lang w:eastAsia="zh-Hans"/>
        </w:rPr>
        <w:t>98</w:t>
      </w:r>
      <w:r>
        <w:rPr>
          <w:rFonts w:hint="eastAsia" w:ascii="宋体" w:hAnsi="宋体" w:eastAsia="宋体" w:cs="宋体"/>
          <w:sz w:val="21"/>
          <w:szCs w:val="21"/>
          <w:lang w:val="en-US" w:eastAsia="zh-Hans"/>
        </w:rPr>
        <w:t>号数娱大厦</w:t>
      </w:r>
      <w:r>
        <w:rPr>
          <w:rFonts w:hint="eastAsia" w:ascii="宋体" w:hAnsi="宋体" w:eastAsia="宋体" w:cs="宋体"/>
          <w:sz w:val="21"/>
          <w:szCs w:val="21"/>
          <w:lang w:eastAsia="zh-Hans"/>
        </w:rPr>
        <w:t>5</w:t>
      </w:r>
      <w:r>
        <w:rPr>
          <w:rFonts w:hint="eastAsia" w:ascii="宋体" w:hAnsi="宋体" w:eastAsia="宋体" w:cs="宋体"/>
          <w:sz w:val="21"/>
          <w:szCs w:val="21"/>
          <w:lang w:val="en-US" w:eastAsia="zh-Hans"/>
        </w:rPr>
        <w:t>楼</w:t>
      </w:r>
      <w:r>
        <w:rPr>
          <w:rFonts w:hint="eastAsia" w:ascii="宋体" w:hAnsi="宋体" w:eastAsia="宋体" w:cs="宋体"/>
          <w:sz w:val="21"/>
          <w:szCs w:val="21"/>
          <w:lang w:eastAsia="zh-Hans"/>
        </w:rPr>
        <w:t>兑吧</w:t>
      </w:r>
    </w:p>
    <w:p>
      <w:pPr>
        <w:widowControl w:val="0"/>
        <w:numPr>
          <w:ilvl w:val="0"/>
          <w:numId w:val="0"/>
        </w:numPr>
        <w:adjustRightInd w:val="0"/>
        <w:spacing w:line="360" w:lineRule="auto"/>
        <w:ind w:left="420" w:leftChars="0"/>
        <w:jc w:val="both"/>
        <w:textAlignment w:val="baseline"/>
        <w:rPr>
          <w:rFonts w:hint="eastAsia" w:cs="宋体"/>
          <w:sz w:val="21"/>
          <w:szCs w:val="21"/>
          <w:lang w:val="en-US" w:eastAsia="zh-Hans"/>
        </w:rPr>
      </w:pPr>
      <w:r>
        <w:rPr>
          <w:rFonts w:hint="default" w:cs="宋体"/>
          <w:sz w:val="21"/>
          <w:szCs w:val="21"/>
          <w:lang w:eastAsia="zh-Hans"/>
        </w:rPr>
        <w:t>4.</w:t>
      </w:r>
      <w:r>
        <w:rPr>
          <w:rFonts w:hint="eastAsia" w:cs="宋体"/>
          <w:sz w:val="21"/>
          <w:szCs w:val="21"/>
          <w:lang w:val="en-US" w:eastAsia="zh-Hans"/>
        </w:rPr>
        <w:t>邮寄地址：</w:t>
      </w:r>
    </w:p>
    <w:p>
      <w:pPr>
        <w:widowControl w:val="0"/>
        <w:numPr>
          <w:ilvl w:val="0"/>
          <w:numId w:val="0"/>
        </w:numPr>
        <w:adjustRightInd w:val="0"/>
        <w:spacing w:line="360" w:lineRule="auto"/>
        <w:ind w:left="420" w:leftChars="0"/>
        <w:jc w:val="both"/>
        <w:textAlignment w:val="baseline"/>
        <w:rPr>
          <w:rFonts w:hint="default"/>
          <w:lang w:eastAsia="zh-Hans"/>
        </w:rPr>
      </w:pPr>
      <w:bookmarkStart w:id="43" w:name="_GoBack"/>
      <w:bookmarkEnd w:id="43"/>
      <w:r>
        <w:rPr>
          <w:rFonts w:hint="eastAsia" w:ascii="宋体" w:hAnsi="宋体" w:eastAsia="宋体" w:cs="宋体"/>
          <w:sz w:val="21"/>
          <w:szCs w:val="21"/>
          <w:lang w:val="en-US" w:eastAsia="zh-Hans"/>
        </w:rPr>
        <w:t>浙江省杭州市西湖区文一西路</w:t>
      </w:r>
      <w:r>
        <w:rPr>
          <w:rFonts w:hint="eastAsia" w:ascii="宋体" w:hAnsi="宋体" w:eastAsia="宋体" w:cs="宋体"/>
          <w:sz w:val="21"/>
          <w:szCs w:val="21"/>
          <w:lang w:eastAsia="zh-Hans"/>
        </w:rPr>
        <w:t>98</w:t>
      </w:r>
      <w:r>
        <w:rPr>
          <w:rFonts w:hint="eastAsia" w:ascii="宋体" w:hAnsi="宋体" w:eastAsia="宋体" w:cs="宋体"/>
          <w:sz w:val="21"/>
          <w:szCs w:val="21"/>
          <w:lang w:val="en-US" w:eastAsia="zh-Hans"/>
        </w:rPr>
        <w:t>号数娱大厦</w:t>
      </w:r>
      <w:r>
        <w:rPr>
          <w:rFonts w:hint="eastAsia" w:ascii="宋体" w:hAnsi="宋体" w:eastAsia="宋体" w:cs="宋体"/>
          <w:sz w:val="21"/>
          <w:szCs w:val="21"/>
          <w:lang w:eastAsia="zh-Hans"/>
        </w:rPr>
        <w:t>5</w:t>
      </w:r>
      <w:r>
        <w:rPr>
          <w:rFonts w:hint="eastAsia" w:ascii="宋体" w:hAnsi="宋体" w:eastAsia="宋体" w:cs="宋体"/>
          <w:sz w:val="21"/>
          <w:szCs w:val="21"/>
          <w:lang w:val="en-US" w:eastAsia="zh-Hans"/>
        </w:rPr>
        <w:t>楼</w:t>
      </w:r>
      <w:r>
        <w:rPr>
          <w:rFonts w:hint="eastAsia" w:ascii="宋体" w:hAnsi="宋体" w:eastAsia="宋体" w:cs="宋体"/>
          <w:sz w:val="21"/>
          <w:szCs w:val="21"/>
          <w:lang w:eastAsia="zh-Hans"/>
        </w:rPr>
        <w:t>兑吧</w:t>
      </w:r>
      <w:r>
        <w:rPr>
          <w:rFonts w:hint="default" w:ascii="宋体" w:hAnsi="宋体" w:eastAsia="宋体" w:cs="宋体"/>
          <w:sz w:val="21"/>
          <w:szCs w:val="21"/>
          <w:lang w:eastAsia="zh-Hans"/>
        </w:rPr>
        <w:t xml:space="preserve">   </w:t>
      </w:r>
      <w:r>
        <w:rPr>
          <w:rFonts w:hint="eastAsia" w:ascii="宋体" w:hAnsi="宋体" w:eastAsia="宋体" w:cs="宋体"/>
          <w:sz w:val="21"/>
          <w:szCs w:val="21"/>
          <w:lang w:val="en-US" w:eastAsia="zh-Hans"/>
        </w:rPr>
        <w:t>余女士</w:t>
      </w:r>
      <w:r>
        <w:rPr>
          <w:rFonts w:hint="default" w:ascii="宋体" w:hAnsi="宋体" w:eastAsia="宋体" w:cs="宋体"/>
          <w:sz w:val="21"/>
          <w:szCs w:val="21"/>
          <w:lang w:eastAsia="zh-Hans"/>
        </w:rPr>
        <w:t xml:space="preserve"> 13250816107</w:t>
      </w:r>
    </w:p>
    <w:p>
      <w:pPr>
        <w:pStyle w:val="4"/>
        <w:rPr>
          <w:rFonts w:hint="eastAsia" w:ascii="宋体" w:hAnsi="宋体" w:eastAsia="宋体" w:cs="宋体"/>
          <w:sz w:val="28"/>
          <w:szCs w:val="28"/>
          <w:lang w:eastAsia="zh-Hans"/>
        </w:rPr>
      </w:pPr>
      <w:r>
        <w:rPr>
          <w:rFonts w:hint="eastAsia" w:ascii="宋体" w:hAnsi="宋体" w:eastAsia="宋体" w:cs="宋体"/>
          <w:sz w:val="28"/>
          <w:szCs w:val="28"/>
          <w:lang w:eastAsia="zh-Hans"/>
        </w:rPr>
        <w:t xml:space="preserve">第二章  </w:t>
      </w:r>
      <w:r>
        <w:rPr>
          <w:rFonts w:hint="eastAsia" w:ascii="宋体" w:hAnsi="宋体" w:eastAsia="宋体" w:cs="宋体"/>
          <w:sz w:val="28"/>
          <w:szCs w:val="28"/>
          <w:lang w:val="en-US" w:eastAsia="zh-Hans"/>
        </w:rPr>
        <w:t>投</w:t>
      </w:r>
      <w:r>
        <w:rPr>
          <w:rFonts w:hint="eastAsia" w:ascii="宋体" w:hAnsi="宋体" w:eastAsia="宋体" w:cs="宋体"/>
          <w:sz w:val="28"/>
          <w:szCs w:val="28"/>
          <w:lang w:eastAsia="zh-Hans"/>
        </w:rPr>
        <w:t>标人须知</w:t>
      </w: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一、说明</w:t>
      </w:r>
    </w:p>
    <w:p>
      <w:pPr>
        <w:numPr>
          <w:ilvl w:val="0"/>
          <w:numId w:val="5"/>
        </w:numPr>
        <w:rPr>
          <w:rFonts w:hint="eastAsia" w:ascii="宋体" w:hAnsi="宋体" w:eastAsia="宋体" w:cs="宋体"/>
          <w:sz w:val="21"/>
          <w:szCs w:val="21"/>
        </w:rPr>
      </w:pPr>
      <w:r>
        <w:rPr>
          <w:rFonts w:hint="eastAsia" w:ascii="宋体" w:hAnsi="宋体" w:eastAsia="宋体" w:cs="宋体"/>
          <w:sz w:val="21"/>
          <w:szCs w:val="21"/>
        </w:rPr>
        <w:t>合格的投标人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详见第一章第三点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特别说明：如果投标人存在重大不良行为，招标人有权取消投标人的投标资格，如已经签订合同的有权终止合同，并将投标人列入禁入名单。</w:t>
      </w:r>
    </w:p>
    <w:p>
      <w:pPr>
        <w:pStyle w:val="2"/>
        <w:rPr>
          <w:rFonts w:hint="eastAsia" w:ascii="宋体" w:hAnsi="宋体" w:eastAsia="宋体" w:cs="宋体"/>
          <w:sz w:val="21"/>
          <w:szCs w:val="21"/>
        </w:rPr>
      </w:pPr>
    </w:p>
    <w:p>
      <w:pPr>
        <w:numPr>
          <w:ilvl w:val="0"/>
          <w:numId w:val="5"/>
        </w:numPr>
        <w:rPr>
          <w:rFonts w:hint="eastAsia" w:ascii="宋体" w:hAnsi="宋体" w:eastAsia="宋体" w:cs="宋体"/>
          <w:sz w:val="21"/>
          <w:szCs w:val="21"/>
        </w:rPr>
      </w:pPr>
      <w:r>
        <w:rPr>
          <w:rFonts w:hint="eastAsia" w:ascii="宋体" w:hAnsi="宋体" w:eastAsia="宋体" w:cs="宋体"/>
          <w:sz w:val="21"/>
          <w:szCs w:val="21"/>
        </w:rPr>
        <w:t>投标授权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如投标人代表不是法定代表人或负责人，须持有《法定代表人授权书》（投标人无法定代表人的，可提供负责人授权证明）。</w:t>
      </w:r>
    </w:p>
    <w:p>
      <w:pPr>
        <w:pStyle w:val="2"/>
        <w:rPr>
          <w:rFonts w:hint="eastAsia" w:ascii="宋体" w:hAnsi="宋体" w:eastAsia="宋体" w:cs="宋体"/>
          <w:sz w:val="21"/>
          <w:szCs w:val="21"/>
        </w:rPr>
      </w:pPr>
    </w:p>
    <w:p>
      <w:pPr>
        <w:numPr>
          <w:ilvl w:val="0"/>
          <w:numId w:val="5"/>
        </w:numPr>
        <w:rPr>
          <w:rFonts w:hint="eastAsia" w:ascii="宋体" w:hAnsi="宋体" w:eastAsia="宋体" w:cs="宋体"/>
          <w:sz w:val="21"/>
          <w:szCs w:val="21"/>
        </w:rPr>
      </w:pPr>
      <w:r>
        <w:rPr>
          <w:rFonts w:hint="eastAsia" w:ascii="宋体" w:hAnsi="宋体" w:eastAsia="宋体" w:cs="宋体"/>
          <w:sz w:val="21"/>
          <w:szCs w:val="21"/>
        </w:rPr>
        <w:t>投标费用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投标人应承担所有与准备和参加投标有关的费用。不论评标的结果如何，招标人在任何情况下均无义务和责任承担这些费用。</w:t>
      </w:r>
    </w:p>
    <w:p>
      <w:pPr>
        <w:pStyle w:val="2"/>
        <w:rPr>
          <w:rFonts w:hint="eastAsia" w:ascii="宋体" w:hAnsi="宋体" w:eastAsia="宋体" w:cs="宋体"/>
          <w:sz w:val="21"/>
          <w:szCs w:val="21"/>
        </w:rPr>
      </w:pPr>
    </w:p>
    <w:p>
      <w:pPr>
        <w:numPr>
          <w:ilvl w:val="0"/>
          <w:numId w:val="5"/>
        </w:numPr>
        <w:rPr>
          <w:rFonts w:hint="eastAsia" w:ascii="宋体" w:hAnsi="宋体" w:eastAsia="宋体" w:cs="宋体"/>
          <w:sz w:val="21"/>
          <w:szCs w:val="21"/>
        </w:rPr>
      </w:pPr>
      <w:r>
        <w:rPr>
          <w:rFonts w:hint="eastAsia" w:ascii="宋体" w:hAnsi="宋体" w:eastAsia="宋体" w:cs="宋体"/>
          <w:sz w:val="21"/>
          <w:szCs w:val="21"/>
        </w:rPr>
        <w:t>保密和知识产权</w:t>
      </w:r>
    </w:p>
    <w:p>
      <w:pPr>
        <w:widowControl w:val="0"/>
        <w:numPr>
          <w:ilvl w:val="0"/>
          <w:numId w:val="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招标人对招标文件依法享有知识产权。</w:t>
      </w:r>
    </w:p>
    <w:p>
      <w:pPr>
        <w:widowControl w:val="0"/>
        <w:numPr>
          <w:ilvl w:val="0"/>
          <w:numId w:val="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本招标文件所包含的信息属于保密信息，无招标人书面许可，任何单位或个人都无权披露、复制、使用、转让或者允许他人使用。领取招标文件的投标人被视为无条件对本招标文件的内容负有保密义务。</w:t>
      </w:r>
    </w:p>
    <w:p>
      <w:pPr>
        <w:widowControl w:val="0"/>
        <w:numPr>
          <w:ilvl w:val="0"/>
          <w:numId w:val="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招标采购结束后，无论投标人是否成交，均应当对本招标文件履行保密承诺。</w:t>
      </w:r>
    </w:p>
    <w:p>
      <w:pPr>
        <w:widowControl w:val="0"/>
        <w:numPr>
          <w:ilvl w:val="0"/>
          <w:numId w:val="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投标人未经招标人同意不得转让本招标文件。</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二、招标文件</w:t>
      </w:r>
    </w:p>
    <w:p>
      <w:pPr>
        <w:numPr>
          <w:ilvl w:val="0"/>
          <w:numId w:val="7"/>
        </w:numPr>
        <w:ind w:firstLine="420" w:firstLineChars="200"/>
        <w:rPr>
          <w:rFonts w:hint="eastAsia" w:ascii="宋体" w:hAnsi="宋体" w:eastAsia="宋体" w:cs="宋体"/>
          <w:sz w:val="21"/>
          <w:szCs w:val="21"/>
        </w:rPr>
      </w:pPr>
      <w:r>
        <w:rPr>
          <w:rFonts w:hint="eastAsia" w:ascii="宋体" w:hAnsi="宋体" w:eastAsia="宋体" w:cs="宋体"/>
          <w:sz w:val="21"/>
          <w:szCs w:val="21"/>
        </w:rPr>
        <w:t>招标文件构成</w:t>
      </w:r>
    </w:p>
    <w:p>
      <w:pPr>
        <w:widowControl w:val="0"/>
        <w:numPr>
          <w:ilvl w:val="0"/>
          <w:numId w:val="8"/>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招标文件由招标文件总目录所列内容组成。</w:t>
      </w:r>
    </w:p>
    <w:p>
      <w:pPr>
        <w:widowControl w:val="0"/>
        <w:numPr>
          <w:ilvl w:val="0"/>
          <w:numId w:val="8"/>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应认真阅读招标文件中所有的事项、格式、条款和技术规范等。投标人没有按照招标文件要求提交全部资料，或者投标没有对招标文件在各方面都做出实质性响应是投标人须承担的风险，并可能导致其投标被拒绝。</w:t>
      </w:r>
    </w:p>
    <w:p>
      <w:pPr>
        <w:rPr>
          <w:rFonts w:hint="eastAsia" w:ascii="宋体" w:hAnsi="宋体" w:eastAsia="宋体" w:cs="宋体"/>
          <w:color w:val="000000"/>
          <w:sz w:val="21"/>
          <w:szCs w:val="21"/>
        </w:rPr>
      </w:pPr>
    </w:p>
    <w:p>
      <w:pPr>
        <w:numPr>
          <w:ilvl w:val="0"/>
          <w:numId w:val="7"/>
        </w:numPr>
        <w:ind w:firstLine="420" w:firstLineChars="200"/>
        <w:rPr>
          <w:rFonts w:hint="eastAsia" w:ascii="宋体" w:hAnsi="宋体" w:eastAsia="宋体" w:cs="宋体"/>
          <w:sz w:val="21"/>
          <w:szCs w:val="21"/>
        </w:rPr>
      </w:pPr>
      <w:r>
        <w:rPr>
          <w:rFonts w:hint="eastAsia" w:ascii="宋体" w:hAnsi="宋体" w:eastAsia="宋体" w:cs="宋体"/>
          <w:sz w:val="21"/>
          <w:szCs w:val="21"/>
        </w:rPr>
        <w:t>招标文件的澄清</w:t>
      </w:r>
    </w:p>
    <w:p>
      <w:pPr>
        <w:widowControl w:val="0"/>
        <w:numPr>
          <w:ilvl w:val="0"/>
          <w:numId w:val="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任何要求对招标文件进行澄清的投标人，均应在投标文件递交截止期3日前以书面形式（加盖公章）通知招标人。招标人认为有必要的，在投标文件递交截止期日前以书面形式答复每一投标人（不包括问题的来源，答复的内容可能影响投标文件编制的，招标人应当在提交投标截止时间至少2日前，以书面形式通知所有获取招标文件的潜在投标人，不足2日的，招标人应当顺延递交投标文件的截止时间，投标人认为不需顺延递交投标文件截止时间的除外）。</w:t>
      </w:r>
    </w:p>
    <w:p>
      <w:pPr>
        <w:widowControl w:val="0"/>
        <w:numPr>
          <w:ilvl w:val="0"/>
          <w:numId w:val="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任何对招标文件的澄清均为招标文件的组成部分，并具有同等的法律效力。如招标文件的澄清与原招标文件有矛盾，以日期后者为准。</w:t>
      </w:r>
    </w:p>
    <w:p>
      <w:pPr>
        <w:widowControl w:val="0"/>
        <w:numPr>
          <w:ilvl w:val="0"/>
          <w:numId w:val="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投标人收到招标人的澄清回复、招标文件澄清后，应按招标人要求的方式向招标人确认收到上述文件。</w:t>
      </w:r>
    </w:p>
    <w:p>
      <w:pPr>
        <w:widowControl w:val="0"/>
        <w:numPr>
          <w:ilvl w:val="0"/>
          <w:numId w:val="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为使投标人有充分的时间对招标文件的澄清进行研究以便准备投标文件，招标人可酌情推迟投标的截止日期和开标日期，并将此变更通知每一投标人。</w:t>
      </w:r>
    </w:p>
    <w:p>
      <w:pPr>
        <w:rPr>
          <w:rFonts w:hint="eastAsia" w:ascii="宋体" w:hAnsi="宋体" w:eastAsia="宋体" w:cs="宋体"/>
          <w:color w:val="000000"/>
          <w:sz w:val="21"/>
          <w:szCs w:val="21"/>
        </w:rPr>
      </w:pPr>
    </w:p>
    <w:p>
      <w:pPr>
        <w:numPr>
          <w:ilvl w:val="0"/>
          <w:numId w:val="7"/>
        </w:numPr>
        <w:ind w:firstLine="420" w:firstLineChars="200"/>
        <w:rPr>
          <w:rFonts w:hint="eastAsia" w:ascii="宋体" w:hAnsi="宋体" w:eastAsia="宋体" w:cs="宋体"/>
          <w:sz w:val="21"/>
          <w:szCs w:val="21"/>
        </w:rPr>
      </w:pPr>
      <w:r>
        <w:rPr>
          <w:rFonts w:hint="eastAsia" w:ascii="宋体" w:hAnsi="宋体" w:eastAsia="宋体" w:cs="宋体"/>
          <w:sz w:val="21"/>
          <w:szCs w:val="21"/>
        </w:rPr>
        <w:t>招标文件的修改</w:t>
      </w:r>
    </w:p>
    <w:p>
      <w:pPr>
        <w:widowControl w:val="0"/>
        <w:numPr>
          <w:ilvl w:val="0"/>
          <w:numId w:val="1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在投标截止时间前，招标人无论出于自己的考虑，还是出于对投标人提问的澄清，均可对招标文件采用补充文件的方式进行修改。</w:t>
      </w:r>
    </w:p>
    <w:p>
      <w:pPr>
        <w:widowControl w:val="0"/>
        <w:numPr>
          <w:ilvl w:val="0"/>
          <w:numId w:val="1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任何要求对招标文件进行修改的投标人，均应在投标文件递交截止期3日前以书面形式（加盖公章）通知招标人。招标人认为有必要的，在投标文件递交截止期日前以书面形式答复每一投标人（不包括问题的来源，答复的内容可能影响投标文件编制的，招标人应当在提交投标截止时间至少2日前，以书面形式通知所有获取招标文件的潜在投标人，不足2日的，招标人应当顺延递交投标文件的截止时间，投标人认为不需顺延递交投标文件截止时间的除外）。</w:t>
      </w:r>
    </w:p>
    <w:p>
      <w:pPr>
        <w:widowControl w:val="0"/>
        <w:numPr>
          <w:ilvl w:val="0"/>
          <w:numId w:val="1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为使投标人有足够的时间按招标文件的修改要求考虑修正投标文件，招标人可酌情推迟投标的截止日期和开标日期，并将此变更以书面方式通知每一投标人。</w:t>
      </w:r>
    </w:p>
    <w:p>
      <w:pPr>
        <w:widowControl w:val="0"/>
        <w:numPr>
          <w:ilvl w:val="0"/>
          <w:numId w:val="1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投标人在招投标期间应及时关注招标人发送的通知、澄清或修改，并及时按招标人要求回复确认，否则由此引发相应后果由投标人自行承担。</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三、投标文件的编制</w:t>
      </w:r>
    </w:p>
    <w:p>
      <w:pPr>
        <w:numPr>
          <w:ilvl w:val="0"/>
          <w:numId w:val="11"/>
        </w:numPr>
        <w:ind w:firstLine="420" w:firstLineChars="200"/>
        <w:rPr>
          <w:rFonts w:hint="eastAsia" w:ascii="宋体" w:hAnsi="宋体" w:eastAsia="宋体" w:cs="宋体"/>
          <w:sz w:val="21"/>
          <w:szCs w:val="21"/>
        </w:rPr>
      </w:pPr>
      <w:r>
        <w:rPr>
          <w:rFonts w:hint="eastAsia" w:ascii="宋体" w:hAnsi="宋体" w:eastAsia="宋体" w:cs="宋体"/>
          <w:sz w:val="21"/>
          <w:szCs w:val="21"/>
        </w:rPr>
        <w:t>投标文件编制的原则</w:t>
      </w:r>
    </w:p>
    <w:p>
      <w:pPr>
        <w:widowControl w:val="0"/>
        <w:numPr>
          <w:ilvl w:val="0"/>
          <w:numId w:val="1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应在认真阅读招标文件所有内容的基础上，按照招标文件的要求编制完整的投标文件。招标文件中对投标文件格式有要求的，投标人应按格式逐项填写内容，不准有空项；无相应内容可填的项应填写“无”、“没有相应指标”等明确的回答文字。投标文件中留有空项的，将被视为不完整响应的投标文件，其投标将有可能被拒绝。</w:t>
      </w:r>
    </w:p>
    <w:p>
      <w:pPr>
        <w:widowControl w:val="0"/>
        <w:numPr>
          <w:ilvl w:val="0"/>
          <w:numId w:val="1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标人必须保证投标文件所提供的全部资料真实可靠，并接受招标人对其中任何资料进一步审查的要求。</w:t>
      </w:r>
    </w:p>
    <w:p>
      <w:pPr>
        <w:widowControl w:val="0"/>
        <w:numPr>
          <w:ilvl w:val="0"/>
          <w:numId w:val="1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投标文件须对招标文件中的内容做出实质性和完整的响应，否则其投标将被拒绝</w:t>
      </w:r>
      <w:r>
        <w:rPr>
          <w:rFonts w:hint="eastAsia" w:ascii="宋体" w:hAnsi="宋体" w:eastAsia="宋体" w:cs="宋体"/>
          <w:sz w:val="21"/>
          <w:szCs w:val="21"/>
          <w:lang w:eastAsia="zh-Hans"/>
        </w:rPr>
        <w:t>。</w:t>
      </w:r>
    </w:p>
    <w:p>
      <w:pPr>
        <w:pStyle w:val="2"/>
        <w:rPr>
          <w:rFonts w:hint="eastAsia" w:ascii="宋体" w:hAnsi="宋体" w:eastAsia="宋体" w:cs="宋体"/>
          <w:sz w:val="21"/>
          <w:szCs w:val="21"/>
        </w:rPr>
      </w:pPr>
    </w:p>
    <w:p>
      <w:pPr>
        <w:numPr>
          <w:ilvl w:val="0"/>
          <w:numId w:val="11"/>
        </w:numPr>
        <w:ind w:firstLine="420" w:firstLineChars="200"/>
        <w:rPr>
          <w:rFonts w:hint="eastAsia" w:ascii="宋体" w:hAnsi="宋体" w:eastAsia="宋体" w:cs="宋体"/>
          <w:sz w:val="21"/>
          <w:szCs w:val="21"/>
        </w:rPr>
      </w:pPr>
      <w:r>
        <w:rPr>
          <w:rFonts w:hint="eastAsia" w:ascii="宋体" w:hAnsi="宋体" w:eastAsia="宋体" w:cs="宋体"/>
          <w:sz w:val="21"/>
          <w:szCs w:val="21"/>
        </w:rPr>
        <w:t>投标的语言和计量单位</w:t>
      </w:r>
    </w:p>
    <w:p>
      <w:pPr>
        <w:widowControl w:val="0"/>
        <w:numPr>
          <w:ilvl w:val="0"/>
          <w:numId w:val="13"/>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提交的投标文件以及投标人与招标人就有关投标的所有来往函电均应使用投标人须知前附表规定的语言书写。投标人提交的支持文件和印制的文献可以用另一种语言，但相应内容应附有中文（汉语）的翻译本，在解释投标文件时以中文（汉语）为准。</w:t>
      </w:r>
    </w:p>
    <w:p>
      <w:pPr>
        <w:widowControl w:val="0"/>
        <w:numPr>
          <w:ilvl w:val="0"/>
          <w:numId w:val="13"/>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投标文件中所有的计量单位，除招标文件中有特殊要求外，应采用国家法定计量单位。</w:t>
      </w:r>
    </w:p>
    <w:p>
      <w:pPr>
        <w:pStyle w:val="2"/>
        <w:rPr>
          <w:rFonts w:hint="eastAsia" w:ascii="宋体" w:hAnsi="宋体" w:eastAsia="宋体" w:cs="宋体"/>
          <w:sz w:val="21"/>
          <w:szCs w:val="21"/>
        </w:rPr>
      </w:pPr>
    </w:p>
    <w:p>
      <w:pPr>
        <w:numPr>
          <w:ilvl w:val="0"/>
          <w:numId w:val="11"/>
        </w:numPr>
        <w:ind w:firstLine="420" w:firstLineChars="200"/>
        <w:rPr>
          <w:rFonts w:hint="eastAsia" w:ascii="宋体" w:hAnsi="宋体" w:eastAsia="宋体" w:cs="宋体"/>
          <w:sz w:val="21"/>
          <w:szCs w:val="21"/>
        </w:rPr>
      </w:pPr>
      <w:r>
        <w:rPr>
          <w:rFonts w:hint="eastAsia" w:ascii="宋体" w:hAnsi="宋体" w:eastAsia="宋体" w:cs="宋体"/>
          <w:sz w:val="21"/>
          <w:szCs w:val="21"/>
        </w:rPr>
        <w:t>投标文件的构成</w:t>
      </w:r>
    </w:p>
    <w:p>
      <w:pPr>
        <w:widowControl w:val="0"/>
        <w:numPr>
          <w:ilvl w:val="0"/>
          <w:numId w:val="1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每个投标人只能提交一份投标文件。提交了一个以上的投标文件的投标人，其参与的投标</w:t>
      </w:r>
      <w:r>
        <w:rPr>
          <w:rFonts w:hint="eastAsia" w:ascii="宋体" w:hAnsi="宋体" w:eastAsia="宋体" w:cs="宋体"/>
          <w:sz w:val="21"/>
          <w:szCs w:val="21"/>
          <w:lang w:val="en-US" w:eastAsia="zh-Hans"/>
        </w:rPr>
        <w:t>文件以最后一次提交的为准，其余</w:t>
      </w:r>
      <w:r>
        <w:rPr>
          <w:rFonts w:hint="eastAsia" w:ascii="宋体" w:hAnsi="宋体" w:eastAsia="宋体" w:cs="宋体"/>
          <w:sz w:val="21"/>
          <w:szCs w:val="21"/>
        </w:rPr>
        <w:t>将被视为无效。</w:t>
      </w:r>
    </w:p>
    <w:p>
      <w:pPr>
        <w:widowControl w:val="0"/>
        <w:numPr>
          <w:ilvl w:val="0"/>
          <w:numId w:val="1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投标文件的构成</w:t>
      </w:r>
    </w:p>
    <w:p>
      <w:pPr>
        <w:widowControl w:val="0"/>
        <w:numPr>
          <w:ilvl w:val="0"/>
          <w:numId w:val="1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商务文件，包括：</w:t>
      </w:r>
    </w:p>
    <w:p>
      <w:pPr>
        <w:rPr>
          <w:rFonts w:hint="eastAsia" w:ascii="宋体" w:hAnsi="宋体" w:eastAsia="宋体" w:cs="宋体"/>
          <w:sz w:val="21"/>
          <w:szCs w:val="21"/>
        </w:rPr>
      </w:pPr>
      <w:r>
        <w:rPr>
          <w:rFonts w:hint="eastAsia" w:ascii="宋体" w:hAnsi="宋体" w:eastAsia="宋体" w:cs="宋体"/>
          <w:sz w:val="21"/>
          <w:szCs w:val="21"/>
        </w:rPr>
        <w:t>（1）投标函，格式见本招标文件附件。</w:t>
      </w:r>
    </w:p>
    <w:p>
      <w:pPr>
        <w:rPr>
          <w:rFonts w:hint="eastAsia" w:ascii="宋体" w:hAnsi="宋体" w:eastAsia="宋体" w:cs="宋体"/>
          <w:sz w:val="21"/>
          <w:szCs w:val="21"/>
        </w:rPr>
      </w:pPr>
      <w:r>
        <w:rPr>
          <w:rFonts w:hint="eastAsia" w:ascii="宋体" w:hAnsi="宋体" w:eastAsia="宋体" w:cs="宋体"/>
          <w:sz w:val="21"/>
          <w:szCs w:val="21"/>
        </w:rPr>
        <w:t>（2）资格证明文件。</w:t>
      </w:r>
    </w:p>
    <w:p>
      <w:pPr>
        <w:rPr>
          <w:rFonts w:hint="eastAsia" w:ascii="宋体" w:hAnsi="宋体" w:eastAsia="宋体" w:cs="宋体"/>
          <w:sz w:val="21"/>
          <w:szCs w:val="21"/>
        </w:rPr>
      </w:pPr>
      <w:r>
        <w:rPr>
          <w:rFonts w:hint="eastAsia" w:ascii="宋体" w:hAnsi="宋体" w:eastAsia="宋体" w:cs="宋体"/>
          <w:sz w:val="21"/>
          <w:szCs w:val="21"/>
        </w:rPr>
        <w:t>（a）法定代表人授权书（投标人无法定代表人的，可提供负责人的授权证明），格式见本招标文件附件；</w:t>
      </w:r>
    </w:p>
    <w:p>
      <w:pPr>
        <w:rPr>
          <w:rFonts w:hint="eastAsia" w:ascii="宋体" w:hAnsi="宋体" w:eastAsia="宋体" w:cs="宋体"/>
          <w:color w:val="000000"/>
          <w:sz w:val="21"/>
          <w:szCs w:val="21"/>
        </w:rPr>
      </w:pPr>
      <w:r>
        <w:rPr>
          <w:rFonts w:hint="eastAsia" w:ascii="宋体" w:hAnsi="宋体" w:eastAsia="宋体" w:cs="宋体"/>
          <w:sz w:val="21"/>
          <w:szCs w:val="21"/>
        </w:rPr>
        <w:t>（b）</w:t>
      </w:r>
      <w:r>
        <w:rPr>
          <w:rFonts w:hint="eastAsia" w:ascii="宋体" w:hAnsi="宋体" w:eastAsia="宋体" w:cs="宋体"/>
          <w:color w:val="000000"/>
          <w:sz w:val="21"/>
          <w:szCs w:val="21"/>
        </w:rPr>
        <w:t>企业法人营业执照副本复印件（或具有同等法律效力的证照）；</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w:t>
      </w:r>
      <w:r>
        <w:rPr>
          <w:rFonts w:hint="eastAsia" w:ascii="宋体" w:hAnsi="宋体" w:eastAsia="宋体" w:cs="宋体"/>
          <w:color w:val="000000"/>
          <w:kern w:val="0"/>
          <w:sz w:val="21"/>
          <w:szCs w:val="21"/>
        </w:rPr>
        <w:t>相关资质证书（如有）</w:t>
      </w:r>
      <w:r>
        <w:rPr>
          <w:rFonts w:hint="eastAsia" w:ascii="宋体" w:hAnsi="宋体" w:eastAsia="宋体" w:cs="宋体"/>
          <w:color w:val="000000"/>
          <w:sz w:val="21"/>
          <w:szCs w:val="21"/>
        </w:rPr>
        <w:t>，格式见本招标文件附件</w:t>
      </w:r>
      <w:r>
        <w:rPr>
          <w:rFonts w:hint="eastAsia" w:ascii="宋体" w:hAnsi="宋体" w:eastAsia="宋体" w:cs="宋体"/>
          <w:color w:val="000000"/>
          <w:kern w:val="0"/>
          <w:sz w:val="21"/>
          <w:szCs w:val="21"/>
        </w:rPr>
        <w:t>；</w:t>
      </w:r>
    </w:p>
    <w:p>
      <w:pPr>
        <w:rPr>
          <w:rFonts w:hint="eastAsia" w:ascii="宋体" w:hAnsi="宋体" w:eastAsia="宋体" w:cs="宋体"/>
          <w:color w:val="000000"/>
          <w:sz w:val="21"/>
          <w:szCs w:val="21"/>
        </w:rPr>
      </w:pPr>
      <w:r>
        <w:rPr>
          <w:rFonts w:hint="eastAsia" w:ascii="宋体" w:hAnsi="宋体" w:eastAsia="宋体" w:cs="宋体"/>
          <w:color w:val="000000"/>
          <w:kern w:val="0"/>
          <w:sz w:val="21"/>
          <w:szCs w:val="21"/>
        </w:rPr>
        <w:t>（d）廉洁承诺书，格式见</w:t>
      </w:r>
      <w:r>
        <w:rPr>
          <w:rFonts w:hint="eastAsia" w:ascii="宋体" w:hAnsi="宋体" w:eastAsia="宋体" w:cs="宋体"/>
          <w:color w:val="000000"/>
          <w:sz w:val="21"/>
          <w:szCs w:val="21"/>
        </w:rPr>
        <w:t>本招标文件附件</w:t>
      </w:r>
      <w:r>
        <w:rPr>
          <w:rFonts w:hint="eastAsia" w:ascii="宋体" w:hAnsi="宋体" w:eastAsia="宋体" w:cs="宋体"/>
          <w:color w:val="000000"/>
          <w:kern w:val="0"/>
          <w:sz w:val="21"/>
          <w:szCs w:val="21"/>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（e）投标人关联关系单位披露表，格式见本招标文件附件；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（f）信用中国网站截图或信用报告，格式见本招标文件附件</w:t>
      </w:r>
      <w:r>
        <w:rPr>
          <w:rFonts w:hint="eastAsia" w:ascii="宋体" w:hAnsi="宋体" w:eastAsia="宋体" w:cs="宋体"/>
          <w:color w:val="000000"/>
          <w:kern w:val="0"/>
          <w:sz w:val="21"/>
          <w:szCs w:val="21"/>
        </w:rPr>
        <w:t>。</w:t>
      </w:r>
    </w:p>
    <w:p>
      <w:pPr>
        <w:widowControl w:val="0"/>
        <w:numPr>
          <w:ilvl w:val="0"/>
          <w:numId w:val="1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投标人介绍及业绩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（a）投标人简介PPT，包含但不限于公司介绍、竞争优势、售后物流保障、运营能力等，格式见本招标文件附件；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（b）财务状况，列明投标人近三年主要财务指标，格式见本招标文件附件，如投标人成立时间较短无法提供近三年财务状况的，则按照实际成立时间提供相应年份的财务状况；</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（c）投标人认为需提供的其他文件或证书复印件。</w:t>
      </w:r>
    </w:p>
    <w:p>
      <w:pPr>
        <w:widowControl w:val="0"/>
        <w:numPr>
          <w:ilvl w:val="0"/>
          <w:numId w:val="1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其他招标文件附件中要求投标人提交的文件材料。</w:t>
      </w:r>
    </w:p>
    <w:p>
      <w:pPr>
        <w:rPr>
          <w:rFonts w:hint="eastAsia" w:ascii="宋体" w:hAnsi="宋体" w:eastAsia="宋体" w:cs="宋体"/>
          <w:color w:val="000000"/>
          <w:sz w:val="21"/>
          <w:szCs w:val="21"/>
        </w:rPr>
      </w:pPr>
      <w:r>
        <w:rPr>
          <w:rFonts w:hint="eastAsia" w:ascii="宋体" w:hAnsi="宋体" w:eastAsia="宋体" w:cs="宋体"/>
          <w:b/>
          <w:color w:val="000000"/>
          <w:sz w:val="21"/>
          <w:szCs w:val="21"/>
        </w:rPr>
        <w:t>投标人提供的以上材料必须真实有效，提供任何的虚假材料将导致其投标响应被拒绝。</w:t>
      </w:r>
    </w:p>
    <w:p>
      <w:pPr>
        <w:widowControl w:val="0"/>
        <w:numPr>
          <w:ilvl w:val="0"/>
          <w:numId w:val="15"/>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技术文件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投标人须对本招标文件提出的需求进行逐项应答，并提交以下材料：（根据项目需求、评标办法编制，具体要求见本招标文件附件）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Hans"/>
        </w:rPr>
        <w:t>项目团队岗位构成</w:t>
      </w:r>
      <w:r>
        <w:rPr>
          <w:rFonts w:hint="eastAsia" w:ascii="宋体" w:hAnsi="宋体" w:eastAsia="宋体" w:cs="宋体"/>
          <w:color w:val="000000"/>
          <w:sz w:val="21"/>
          <w:szCs w:val="21"/>
        </w:rPr>
        <w:t>：对</w:t>
      </w:r>
      <w:r>
        <w:rPr>
          <w:rFonts w:hint="eastAsia" w:ascii="宋体" w:hAnsi="宋体" w:eastAsia="宋体" w:cs="宋体"/>
          <w:color w:val="000000"/>
          <w:sz w:val="21"/>
          <w:szCs w:val="21"/>
          <w:lang w:val="en-US" w:eastAsia="zh-Hans"/>
        </w:rPr>
        <w:t>岗位构成和人员能力要求</w:t>
      </w:r>
      <w:r>
        <w:rPr>
          <w:rFonts w:hint="eastAsia" w:ascii="宋体" w:hAnsi="宋体" w:eastAsia="宋体" w:cs="宋体"/>
          <w:color w:val="000000"/>
          <w:sz w:val="21"/>
          <w:szCs w:val="21"/>
        </w:rPr>
        <w:t>等进行描述。</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（2）服务体系：包括</w:t>
      </w:r>
      <w:r>
        <w:rPr>
          <w:rFonts w:hint="eastAsia" w:ascii="宋体" w:hAnsi="宋体" w:eastAsia="宋体" w:cs="宋体"/>
          <w:color w:val="000000"/>
          <w:sz w:val="21"/>
          <w:szCs w:val="21"/>
          <w:lang w:val="en-US" w:eastAsia="zh-Hans"/>
        </w:rPr>
        <w:t>日常对接</w:t>
      </w:r>
      <w:r>
        <w:rPr>
          <w:rFonts w:hint="eastAsia" w:ascii="宋体" w:hAnsi="宋体" w:eastAsia="宋体" w:cs="宋体"/>
          <w:color w:val="000000"/>
          <w:sz w:val="21"/>
          <w:szCs w:val="21"/>
        </w:rPr>
        <w:t>、系统对接方案等。</w:t>
      </w:r>
    </w:p>
    <w:p>
      <w:pPr>
        <w:rPr>
          <w:rFonts w:hint="eastAsia" w:ascii="宋体" w:hAnsi="宋体" w:eastAsia="宋体" w:cs="宋体"/>
          <w:b/>
          <w:color w:val="000000"/>
          <w:sz w:val="21"/>
          <w:szCs w:val="21"/>
        </w:rPr>
      </w:pPr>
      <w:r>
        <w:rPr>
          <w:rFonts w:hint="eastAsia" w:ascii="宋体" w:hAnsi="宋体" w:eastAsia="宋体" w:cs="宋体"/>
          <w:b/>
          <w:color w:val="000000"/>
          <w:sz w:val="21"/>
          <w:szCs w:val="21"/>
        </w:rPr>
        <w:t>可融入投标人简介PPT中展现。</w:t>
      </w:r>
    </w:p>
    <w:p>
      <w:pPr>
        <w:pStyle w:val="2"/>
        <w:rPr>
          <w:rFonts w:hint="eastAsia" w:ascii="宋体" w:hAnsi="宋体" w:eastAsia="宋体" w:cs="宋体"/>
          <w:sz w:val="21"/>
          <w:szCs w:val="21"/>
        </w:rPr>
      </w:pPr>
    </w:p>
    <w:p>
      <w:pPr>
        <w:numPr>
          <w:ilvl w:val="0"/>
          <w:numId w:val="11"/>
        </w:num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投标报价</w:t>
      </w:r>
    </w:p>
    <w:p>
      <w:pPr>
        <w:widowControl w:val="0"/>
        <w:numPr>
          <w:ilvl w:val="0"/>
          <w:numId w:val="16"/>
        </w:numPr>
        <w:adjustRightInd w:val="0"/>
        <w:spacing w:line="360" w:lineRule="auto"/>
        <w:jc w:val="both"/>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投标人按照本项目提供的</w:t>
      </w:r>
      <w:r>
        <w:rPr>
          <w:rFonts w:hint="eastAsia" w:ascii="宋体" w:hAnsi="宋体" w:eastAsia="宋体" w:cs="宋体"/>
          <w:color w:val="000000"/>
          <w:sz w:val="21"/>
          <w:szCs w:val="21"/>
          <w:lang w:val="en-US" w:eastAsia="zh-Hans"/>
        </w:rPr>
        <w:t>服务运营中项目类别进行报价</w:t>
      </w:r>
      <w:r>
        <w:rPr>
          <w:rFonts w:hint="eastAsia" w:ascii="宋体" w:hAnsi="宋体" w:eastAsia="宋体" w:cs="宋体"/>
          <w:color w:val="000000"/>
          <w:sz w:val="21"/>
          <w:szCs w:val="21"/>
        </w:rPr>
        <w:t>。</w:t>
      </w:r>
    </w:p>
    <w:p>
      <w:pPr>
        <w:widowControl w:val="0"/>
        <w:numPr>
          <w:ilvl w:val="0"/>
          <w:numId w:val="1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color w:val="000000"/>
          <w:sz w:val="21"/>
          <w:szCs w:val="21"/>
        </w:rPr>
        <w:t>投标人应将由法定代表人（负责人）或授权代表签字并加盖公章的报价表正本一份（格</w:t>
      </w:r>
      <w:r>
        <w:rPr>
          <w:rFonts w:hint="eastAsia" w:ascii="宋体" w:hAnsi="宋体" w:eastAsia="宋体" w:cs="宋体"/>
          <w:sz w:val="21"/>
          <w:szCs w:val="21"/>
        </w:rPr>
        <w:t>式见本招标文件附件）。</w:t>
      </w:r>
    </w:p>
    <w:p>
      <w:pPr>
        <w:widowControl w:val="0"/>
        <w:numPr>
          <w:ilvl w:val="0"/>
          <w:numId w:val="1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招标人不接受任何选择报价，只允许有一个报价，同时不接受有条件的优惠报价。</w:t>
      </w:r>
    </w:p>
    <w:p>
      <w:pPr>
        <w:widowControl w:val="0"/>
        <w:numPr>
          <w:ilvl w:val="0"/>
          <w:numId w:val="1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最低报价不能作为中标的保证。</w:t>
      </w:r>
    </w:p>
    <w:p>
      <w:pPr>
        <w:widowControl w:val="0"/>
        <w:numPr>
          <w:ilvl w:val="0"/>
          <w:numId w:val="1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评标委员会认为投标人的报价明显低于其他通过符合性审查投标人的报价，有可能影响产品质量或者不能诚信履约的，有权要求该投标人在评标现场合理的时间内提供书面说明，必要时提交相关证明材料；投标人不能证明其报价合理性的，评标委员会有权将其作为无效投标处理。</w:t>
      </w:r>
    </w:p>
    <w:p>
      <w:pPr>
        <w:pStyle w:val="2"/>
        <w:rPr>
          <w:rFonts w:hint="eastAsia" w:ascii="宋体" w:hAnsi="宋体" w:eastAsia="宋体" w:cs="宋体"/>
          <w:sz w:val="21"/>
          <w:szCs w:val="21"/>
        </w:rPr>
      </w:pPr>
    </w:p>
    <w:p>
      <w:pPr>
        <w:numPr>
          <w:ilvl w:val="0"/>
          <w:numId w:val="11"/>
        </w:numPr>
        <w:ind w:firstLine="420" w:firstLineChars="200"/>
        <w:rPr>
          <w:rFonts w:hint="eastAsia" w:ascii="宋体" w:hAnsi="宋体" w:eastAsia="宋体" w:cs="宋体"/>
          <w:sz w:val="21"/>
          <w:szCs w:val="21"/>
        </w:rPr>
      </w:pPr>
      <w:r>
        <w:rPr>
          <w:rFonts w:hint="eastAsia" w:ascii="宋体" w:hAnsi="宋体" w:eastAsia="宋体" w:cs="宋体"/>
          <w:sz w:val="21"/>
          <w:szCs w:val="21"/>
        </w:rPr>
        <w:t>投标文件式样和签署</w:t>
      </w:r>
    </w:p>
    <w:p>
      <w:pPr>
        <w:widowControl w:val="0"/>
        <w:numPr>
          <w:ilvl w:val="0"/>
          <w:numId w:val="17"/>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投标人应准备投标文件正本及电子文档。若正本与电子文档不符，以正本纸质文件为准。</w:t>
      </w:r>
    </w:p>
    <w:p>
      <w:pPr>
        <w:widowControl w:val="0"/>
        <w:numPr>
          <w:ilvl w:val="0"/>
          <w:numId w:val="17"/>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文件的正本需打印或用不退色墨水书写，电子文档应为正本的扫描件。正本须由投标人法定代表人或经正式授权并对投标人有约束力的代表签字（若拟使用签字章，需同时提交备案说明）。授权代表须将以书面形式出具的“授权证书”附在投标文件中。投标文件规定盖章的地方，应盖单位/公司公章（文件中的单位盖章、印章、公章等处均仅指与投标人名称全称相一致的标准公章。如投标过程中投标人使用其他形式（如带有“专用章”等字样）的印章，须提供特别说明函，明确“针对本次项目，该投标人专用章作为直接参与投标时相关文件的签章，其效力等同于公章”，特别说明函须同时加盖投标人公章及专用章。）。</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四、投标文件的递交</w:t>
      </w:r>
    </w:p>
    <w:p>
      <w:pPr>
        <w:numPr>
          <w:ilvl w:val="0"/>
          <w:numId w:val="18"/>
        </w:numPr>
        <w:ind w:left="0" w:firstLine="420" w:firstLineChars="200"/>
        <w:rPr>
          <w:rFonts w:hint="eastAsia" w:ascii="宋体" w:hAnsi="宋体" w:eastAsia="宋体" w:cs="宋体"/>
          <w:sz w:val="21"/>
          <w:szCs w:val="21"/>
        </w:rPr>
      </w:pPr>
      <w:r>
        <w:rPr>
          <w:rFonts w:hint="eastAsia" w:ascii="宋体" w:hAnsi="宋体" w:eastAsia="宋体" w:cs="宋体"/>
          <w:sz w:val="21"/>
          <w:szCs w:val="21"/>
        </w:rPr>
        <w:t>电子版发送至招标人指定邮箱，纸质版于投标日密封交至投标地点。</w:t>
      </w:r>
    </w:p>
    <w:p>
      <w:pPr>
        <w:widowControl w:val="0"/>
        <w:numPr>
          <w:ilvl w:val="0"/>
          <w:numId w:val="1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投标人应将投标文件正本密封装在包装中，且在投标文件上标明 “正本” 字样。</w:t>
      </w:r>
    </w:p>
    <w:p>
      <w:pPr>
        <w:rPr>
          <w:rFonts w:hint="eastAsia" w:ascii="宋体" w:hAnsi="宋体" w:eastAsia="宋体" w:cs="宋体"/>
          <w:color w:val="000000"/>
          <w:sz w:val="21"/>
          <w:szCs w:val="21"/>
        </w:rPr>
      </w:pPr>
    </w:p>
    <w:p>
      <w:pPr>
        <w:numPr>
          <w:ilvl w:val="0"/>
          <w:numId w:val="18"/>
        </w:numPr>
        <w:ind w:firstLine="420" w:firstLineChars="200"/>
        <w:rPr>
          <w:rFonts w:hint="eastAsia" w:ascii="宋体" w:hAnsi="宋体" w:eastAsia="宋体" w:cs="宋体"/>
          <w:sz w:val="21"/>
          <w:szCs w:val="21"/>
        </w:rPr>
      </w:pPr>
      <w:r>
        <w:rPr>
          <w:rFonts w:hint="eastAsia" w:ascii="宋体" w:hAnsi="宋体" w:eastAsia="宋体" w:cs="宋体"/>
          <w:sz w:val="21"/>
          <w:szCs w:val="21"/>
        </w:rPr>
        <w:t>投标文件的修改与撤回</w:t>
      </w:r>
    </w:p>
    <w:p>
      <w:pPr>
        <w:widowControl w:val="0"/>
        <w:numPr>
          <w:ilvl w:val="0"/>
          <w:numId w:val="2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投标人在递交投标文件后，可以修改或撤回其投标，但招标人必须在规定的投标截止期之前，收到修改或撤回的书面通知。</w:t>
      </w:r>
    </w:p>
    <w:p>
      <w:pPr>
        <w:widowControl w:val="0"/>
        <w:numPr>
          <w:ilvl w:val="0"/>
          <w:numId w:val="2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投标人的修改或撤回通知应按招标文件相关规定编制、密封、标记和发送。</w:t>
      </w:r>
    </w:p>
    <w:p>
      <w:pPr>
        <w:widowControl w:val="0"/>
        <w:numPr>
          <w:ilvl w:val="0"/>
          <w:numId w:val="2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在投标截止期之后，投标人不得对其投标做任何修改。</w:t>
      </w:r>
    </w:p>
    <w:p>
      <w:pPr>
        <w:widowControl w:val="0"/>
        <w:numPr>
          <w:ilvl w:val="0"/>
          <w:numId w:val="2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从投标截止期至投标人在投标函格式中确定的投标有效期之间的这段时间内，投标人不得撤回其投标。</w:t>
      </w:r>
    </w:p>
    <w:p>
      <w:pPr>
        <w:rPr>
          <w:rFonts w:hint="eastAsia" w:ascii="宋体" w:hAnsi="宋体" w:eastAsia="宋体" w:cs="宋体"/>
          <w:color w:val="000000"/>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五、开标与评标</w:t>
      </w:r>
    </w:p>
    <w:p>
      <w:pPr>
        <w:numPr>
          <w:ilvl w:val="0"/>
          <w:numId w:val="21"/>
        </w:numPr>
        <w:ind w:firstLine="420" w:firstLineChars="200"/>
        <w:rPr>
          <w:rFonts w:hint="eastAsia" w:ascii="宋体" w:hAnsi="宋体" w:eastAsia="宋体" w:cs="宋体"/>
          <w:sz w:val="21"/>
          <w:szCs w:val="21"/>
        </w:rPr>
      </w:pPr>
      <w:r>
        <w:rPr>
          <w:rFonts w:hint="eastAsia" w:ascii="宋体" w:hAnsi="宋体" w:eastAsia="宋体" w:cs="宋体"/>
          <w:sz w:val="21"/>
          <w:szCs w:val="21"/>
        </w:rPr>
        <w:t>开标</w:t>
      </w:r>
    </w:p>
    <w:p>
      <w:pPr>
        <w:widowControl w:val="0"/>
        <w:numPr>
          <w:ilvl w:val="0"/>
          <w:numId w:val="2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在投标人规定的日期、时间和地点组织开标，投标人法定代表人根据通知携带法定代表人证件及证明本人身份的证件出席；法定代表人不能出席的，可委派代表参加开标，受委托代表应出示授权书及本人身份证明。参加开标的代表应签名报到以证明其出席。</w:t>
      </w:r>
    </w:p>
    <w:p>
      <w:pPr>
        <w:widowControl w:val="0"/>
        <w:numPr>
          <w:ilvl w:val="0"/>
          <w:numId w:val="2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开标时，招标人拆封文件，投标人按</w:t>
      </w:r>
      <w:r>
        <w:rPr>
          <w:rFonts w:hint="eastAsia" w:ascii="宋体" w:hAnsi="宋体" w:eastAsia="宋体" w:cs="宋体"/>
          <w:sz w:val="21"/>
          <w:szCs w:val="21"/>
          <w:lang w:val="en-US" w:eastAsia="zh-Hans"/>
        </w:rPr>
        <w:t>邮件通知</w:t>
      </w:r>
      <w:r>
        <w:rPr>
          <w:rFonts w:hint="eastAsia" w:ascii="宋体" w:hAnsi="宋体" w:eastAsia="宋体" w:cs="宋体"/>
          <w:sz w:val="21"/>
          <w:szCs w:val="21"/>
        </w:rPr>
        <w:t>顺序演讲PPT方案。</w:t>
      </w:r>
    </w:p>
    <w:p>
      <w:pPr>
        <w:pStyle w:val="2"/>
        <w:rPr>
          <w:rFonts w:hint="eastAsia" w:ascii="宋体" w:hAnsi="宋体" w:eastAsia="宋体" w:cs="宋体"/>
          <w:sz w:val="21"/>
          <w:szCs w:val="21"/>
        </w:rPr>
      </w:pPr>
    </w:p>
    <w:p>
      <w:pPr>
        <w:numPr>
          <w:ilvl w:val="0"/>
          <w:numId w:val="21"/>
        </w:numPr>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w:t>
      </w:r>
    </w:p>
    <w:p>
      <w:pPr>
        <w:widowControl w:val="0"/>
        <w:numPr>
          <w:ilvl w:val="0"/>
          <w:numId w:val="23"/>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评标委员会由招标人负责依法组建。评标委员会负责评标活动，向招标人推荐中标候选人。</w:t>
      </w:r>
    </w:p>
    <w:p>
      <w:pPr>
        <w:pStyle w:val="2"/>
        <w:rPr>
          <w:rFonts w:hint="eastAsia" w:ascii="宋体" w:hAnsi="宋体" w:eastAsia="宋体" w:cs="宋体"/>
          <w:sz w:val="21"/>
          <w:szCs w:val="21"/>
        </w:rPr>
      </w:pPr>
    </w:p>
    <w:p>
      <w:pPr>
        <w:numPr>
          <w:ilvl w:val="0"/>
          <w:numId w:val="21"/>
        </w:numPr>
        <w:ind w:firstLine="420" w:firstLineChars="200"/>
        <w:rPr>
          <w:rFonts w:hint="eastAsia" w:ascii="宋体" w:hAnsi="宋体" w:eastAsia="宋体" w:cs="宋体"/>
          <w:sz w:val="21"/>
          <w:szCs w:val="21"/>
        </w:rPr>
      </w:pPr>
      <w:r>
        <w:rPr>
          <w:rFonts w:hint="eastAsia" w:ascii="宋体" w:hAnsi="宋体" w:eastAsia="宋体" w:cs="宋体"/>
          <w:sz w:val="21"/>
          <w:szCs w:val="21"/>
        </w:rPr>
        <w:t>投标文件的澄清</w:t>
      </w:r>
    </w:p>
    <w:p>
      <w:pPr>
        <w:widowControl w:val="0"/>
        <w:numPr>
          <w:ilvl w:val="0"/>
          <w:numId w:val="2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投标人演讲PPT后，评标委员会将进行现场答疑，招标人需按实际情况回答。</w:t>
      </w:r>
    </w:p>
    <w:p>
      <w:pPr>
        <w:widowControl w:val="0"/>
        <w:numPr>
          <w:ilvl w:val="0"/>
          <w:numId w:val="2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招标人有权就投标文件中含混之处向投标人提出询问或澄清要求。投标人必须按照评标委员会和/或招标人就澄清的问题作答复。</w:t>
      </w:r>
    </w:p>
    <w:p>
      <w:pPr>
        <w:pStyle w:val="2"/>
        <w:rPr>
          <w:rFonts w:hint="eastAsia" w:ascii="宋体" w:hAnsi="宋体" w:eastAsia="宋体" w:cs="宋体"/>
          <w:sz w:val="21"/>
          <w:szCs w:val="21"/>
        </w:rPr>
      </w:pPr>
    </w:p>
    <w:p>
      <w:pPr>
        <w:numPr>
          <w:ilvl w:val="0"/>
          <w:numId w:val="21"/>
        </w:numPr>
        <w:ind w:firstLine="420" w:firstLineChars="200"/>
        <w:rPr>
          <w:rFonts w:hint="eastAsia" w:ascii="宋体" w:hAnsi="宋体" w:eastAsia="宋体" w:cs="宋体"/>
          <w:sz w:val="21"/>
          <w:szCs w:val="21"/>
        </w:rPr>
      </w:pPr>
      <w:r>
        <w:rPr>
          <w:rFonts w:hint="eastAsia" w:ascii="宋体" w:hAnsi="宋体" w:eastAsia="宋体" w:cs="宋体"/>
          <w:sz w:val="21"/>
          <w:szCs w:val="21"/>
        </w:rPr>
        <w:t>评标原则及主要方法</w:t>
      </w:r>
    </w:p>
    <w:p>
      <w:pPr>
        <w:widowControl w:val="0"/>
        <w:numPr>
          <w:ilvl w:val="0"/>
          <w:numId w:val="25"/>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评标委员会将按照招标文件的有关规定和有关法律法规的规定，本着公平、公正、科学、择优的原则，对初步审查合格的投标进行评议。进行评分的，评标最终得分保留2位小数。</w:t>
      </w:r>
    </w:p>
    <w:p>
      <w:pPr>
        <w:widowControl w:val="0"/>
        <w:numPr>
          <w:ilvl w:val="0"/>
          <w:numId w:val="25"/>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采用综合评分法的，投标人综合得分由高到低排序，排名前3名的投标人被推荐为中标候选人。如投标人综合得分相等则折扣得分高者排名高于价格得分低者；如综合得分、折扣得分均相等，则按评标办法的第一项开始比较，得分高者排名高于得分低者，以此类推直至区分投标人排名。</w:t>
      </w:r>
    </w:p>
    <w:p>
      <w:pPr>
        <w:widowControl w:val="0"/>
        <w:numPr>
          <w:ilvl w:val="0"/>
          <w:numId w:val="25"/>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评标方法详见本招标</w:t>
      </w:r>
      <w:r>
        <w:rPr>
          <w:rFonts w:hint="eastAsia" w:ascii="宋体" w:hAnsi="宋体" w:eastAsia="宋体" w:cs="宋体"/>
          <w:color w:val="000000"/>
          <w:sz w:val="21"/>
          <w:szCs w:val="21"/>
        </w:rPr>
        <w:t>文件第三章“评标办法”。</w:t>
      </w:r>
    </w:p>
    <w:p>
      <w:pPr>
        <w:pStyle w:val="2"/>
        <w:rPr>
          <w:rFonts w:hint="eastAsia" w:ascii="宋体" w:hAnsi="宋体" w:eastAsia="宋体" w:cs="宋体"/>
          <w:sz w:val="21"/>
          <w:szCs w:val="21"/>
        </w:rPr>
      </w:pPr>
    </w:p>
    <w:p>
      <w:pPr>
        <w:numPr>
          <w:ilvl w:val="0"/>
          <w:numId w:val="21"/>
        </w:numPr>
        <w:ind w:firstLine="420" w:firstLineChars="200"/>
        <w:rPr>
          <w:rFonts w:hint="eastAsia" w:ascii="宋体" w:hAnsi="宋体" w:eastAsia="宋体" w:cs="宋体"/>
          <w:sz w:val="21"/>
          <w:szCs w:val="21"/>
        </w:rPr>
      </w:pPr>
      <w:r>
        <w:rPr>
          <w:rFonts w:hint="eastAsia" w:ascii="宋体" w:hAnsi="宋体" w:eastAsia="宋体" w:cs="宋体"/>
          <w:sz w:val="21"/>
          <w:szCs w:val="21"/>
        </w:rPr>
        <w:t>评标过程保密</w:t>
      </w:r>
    </w:p>
    <w:p>
      <w:pPr>
        <w:widowControl w:val="0"/>
        <w:numPr>
          <w:ilvl w:val="0"/>
          <w:numId w:val="2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开标之后，直到授予投标人合同止，凡是属于审查、澄清、评价和比较投标的有关资料以及授标意向等，均不得向投标人或其他无关的人员透露。</w:t>
      </w:r>
    </w:p>
    <w:p>
      <w:pPr>
        <w:widowControl w:val="0"/>
        <w:numPr>
          <w:ilvl w:val="0"/>
          <w:numId w:val="2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在评标期间，投标人企图影响招标人的任何活动，将导致投标被拒绝，并承担相应的法律责任。</w:t>
      </w:r>
    </w:p>
    <w:p>
      <w:pPr>
        <w:jc w:val="both"/>
        <w:rPr>
          <w:rFonts w:hint="eastAsia" w:ascii="宋体" w:hAnsi="宋体" w:eastAsia="宋体" w:cs="宋体"/>
          <w:b/>
          <w:color w:val="000000"/>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六、授予合同</w:t>
      </w:r>
    </w:p>
    <w:p>
      <w:pPr>
        <w:numPr>
          <w:ilvl w:val="0"/>
          <w:numId w:val="27"/>
        </w:numPr>
        <w:ind w:firstLine="420" w:firstLineChars="200"/>
        <w:rPr>
          <w:rFonts w:hint="eastAsia" w:ascii="宋体" w:hAnsi="宋体" w:eastAsia="宋体" w:cs="宋体"/>
          <w:sz w:val="21"/>
          <w:szCs w:val="21"/>
        </w:rPr>
      </w:pPr>
      <w:r>
        <w:rPr>
          <w:rFonts w:hint="eastAsia" w:ascii="宋体" w:hAnsi="宋体" w:eastAsia="宋体" w:cs="宋体"/>
          <w:sz w:val="21"/>
          <w:szCs w:val="21"/>
        </w:rPr>
        <w:t>最终审查</w:t>
      </w:r>
    </w:p>
    <w:p>
      <w:pPr>
        <w:widowControl w:val="0"/>
        <w:numPr>
          <w:ilvl w:val="0"/>
          <w:numId w:val="28"/>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最终审查的内容是对投标人的财务、技术、服务能力、商业信誉及招标人认为有必要了解的其它问题作进一步的考察，确定其是否有能力履行合同。</w:t>
      </w:r>
    </w:p>
    <w:p>
      <w:pPr>
        <w:widowControl w:val="0"/>
        <w:numPr>
          <w:ilvl w:val="0"/>
          <w:numId w:val="28"/>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最终审查方式：</w:t>
      </w:r>
    </w:p>
    <w:p>
      <w:pPr>
        <w:rPr>
          <w:rFonts w:hint="eastAsia" w:ascii="宋体" w:hAnsi="宋体" w:eastAsia="宋体" w:cs="宋体"/>
          <w:sz w:val="21"/>
          <w:szCs w:val="21"/>
        </w:rPr>
      </w:pPr>
      <w:r>
        <w:rPr>
          <w:rFonts w:hint="eastAsia" w:ascii="宋体" w:hAnsi="宋体" w:eastAsia="宋体" w:cs="宋体"/>
          <w:sz w:val="21"/>
          <w:szCs w:val="21"/>
        </w:rPr>
        <w:t>（1）最终审查主要依据投标人按招标文件要求提交的有效资格证明文件。</w:t>
      </w:r>
    </w:p>
    <w:p>
      <w:pPr>
        <w:rPr>
          <w:rFonts w:hint="eastAsia" w:ascii="宋体" w:hAnsi="宋体" w:eastAsia="宋体" w:cs="宋体"/>
          <w:color w:val="000000"/>
          <w:sz w:val="21"/>
          <w:szCs w:val="21"/>
        </w:rPr>
      </w:pPr>
      <w:r>
        <w:rPr>
          <w:rFonts w:hint="eastAsia" w:ascii="宋体" w:hAnsi="宋体" w:eastAsia="宋体" w:cs="宋体"/>
          <w:sz w:val="21"/>
          <w:szCs w:val="21"/>
        </w:rPr>
        <w:t>（2）招标人如果认为必要，也可采取对投标人进行询问或实地考察方式。投标人必须如实回答和接受招标人的询问或考察，并提供所需的有关资料。 </w:t>
      </w:r>
    </w:p>
    <w:p>
      <w:pPr>
        <w:widowControl w:val="0"/>
        <w:numPr>
          <w:ilvl w:val="0"/>
          <w:numId w:val="28"/>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按照排名顺序，被推荐的中标候选人若通过审查，则将其确定为中标人；如果其不符合中标条件，没有通过审查，则顺序考察下一个作为中标候选人的排名者。</w:t>
      </w:r>
    </w:p>
    <w:p>
      <w:pPr>
        <w:pStyle w:val="2"/>
        <w:rPr>
          <w:rFonts w:hint="eastAsia" w:ascii="宋体" w:hAnsi="宋体" w:eastAsia="宋体" w:cs="宋体"/>
          <w:sz w:val="21"/>
          <w:szCs w:val="21"/>
        </w:rPr>
      </w:pPr>
    </w:p>
    <w:p>
      <w:pPr>
        <w:numPr>
          <w:ilvl w:val="0"/>
          <w:numId w:val="27"/>
        </w:numPr>
        <w:ind w:firstLine="420" w:firstLineChars="200"/>
        <w:rPr>
          <w:rFonts w:hint="eastAsia" w:ascii="宋体" w:hAnsi="宋体" w:eastAsia="宋体" w:cs="宋体"/>
          <w:sz w:val="21"/>
          <w:szCs w:val="21"/>
        </w:rPr>
      </w:pPr>
      <w:r>
        <w:rPr>
          <w:rFonts w:hint="eastAsia" w:ascii="宋体" w:hAnsi="宋体" w:eastAsia="宋体" w:cs="宋体"/>
          <w:sz w:val="21"/>
          <w:szCs w:val="21"/>
        </w:rPr>
        <w:t>招标人在授标时保留变更服务内容的权力</w:t>
      </w:r>
    </w:p>
    <w:p>
      <w:pPr>
        <w:widowControl w:val="0"/>
        <w:numPr>
          <w:ilvl w:val="0"/>
          <w:numId w:val="29"/>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招标人在授予合同前，有权确定</w:t>
      </w:r>
      <w:r>
        <w:rPr>
          <w:rFonts w:hint="eastAsia" w:ascii="宋体" w:hAnsi="宋体" w:eastAsia="宋体" w:cs="宋体"/>
          <w:sz w:val="21"/>
          <w:szCs w:val="21"/>
          <w:lang w:val="en-US" w:eastAsia="zh-Hans"/>
        </w:rPr>
        <w:t>合作</w:t>
      </w:r>
      <w:r>
        <w:rPr>
          <w:rFonts w:hint="eastAsia" w:ascii="宋体" w:hAnsi="宋体" w:eastAsia="宋体" w:cs="宋体"/>
          <w:sz w:val="21"/>
          <w:szCs w:val="21"/>
        </w:rPr>
        <w:t>的内容和</w:t>
      </w:r>
      <w:r>
        <w:rPr>
          <w:rFonts w:hint="eastAsia" w:ascii="宋体" w:hAnsi="宋体" w:eastAsia="宋体" w:cs="宋体"/>
          <w:sz w:val="21"/>
          <w:szCs w:val="21"/>
          <w:lang w:val="en-US" w:eastAsia="zh-Hans"/>
        </w:rPr>
        <w:t>场次</w:t>
      </w:r>
      <w:r>
        <w:rPr>
          <w:rFonts w:hint="eastAsia" w:ascii="宋体" w:hAnsi="宋体" w:eastAsia="宋体" w:cs="宋体"/>
          <w:sz w:val="21"/>
          <w:szCs w:val="21"/>
        </w:rPr>
        <w:t>以及服务的内容。</w:t>
      </w:r>
    </w:p>
    <w:p>
      <w:pPr>
        <w:pStyle w:val="2"/>
        <w:rPr>
          <w:rFonts w:hint="eastAsia" w:ascii="宋体" w:hAnsi="宋体" w:eastAsia="宋体" w:cs="宋体"/>
          <w:sz w:val="21"/>
          <w:szCs w:val="21"/>
        </w:rPr>
      </w:pPr>
    </w:p>
    <w:p>
      <w:pPr>
        <w:numPr>
          <w:ilvl w:val="0"/>
          <w:numId w:val="27"/>
        </w:numPr>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Hans"/>
        </w:rPr>
        <w:t>招标人</w:t>
      </w:r>
      <w:r>
        <w:rPr>
          <w:rFonts w:hint="eastAsia" w:ascii="宋体" w:hAnsi="宋体" w:eastAsia="宋体" w:cs="宋体"/>
          <w:sz w:val="21"/>
          <w:szCs w:val="21"/>
        </w:rPr>
        <w:t>接受和拒绝任何或所有投标的权力</w:t>
      </w:r>
    </w:p>
    <w:p>
      <w:pPr>
        <w:widowControl w:val="0"/>
        <w:numPr>
          <w:ilvl w:val="0"/>
          <w:numId w:val="30"/>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招标人在授予合同之前，仍有拒绝任何投标人成交的权力，并对所采取的行为不说明原因。</w:t>
      </w:r>
    </w:p>
    <w:p>
      <w:pPr>
        <w:pStyle w:val="2"/>
        <w:rPr>
          <w:rFonts w:hint="eastAsia" w:ascii="宋体" w:hAnsi="宋体" w:eastAsia="宋体" w:cs="宋体"/>
          <w:sz w:val="21"/>
          <w:szCs w:val="21"/>
        </w:rPr>
      </w:pPr>
    </w:p>
    <w:p>
      <w:pPr>
        <w:numPr>
          <w:ilvl w:val="0"/>
          <w:numId w:val="27"/>
        </w:numPr>
        <w:ind w:firstLine="420" w:firstLineChars="200"/>
        <w:rPr>
          <w:rFonts w:hint="eastAsia" w:ascii="宋体" w:hAnsi="宋体" w:eastAsia="宋体" w:cs="宋体"/>
          <w:sz w:val="21"/>
          <w:szCs w:val="21"/>
        </w:rPr>
      </w:pPr>
      <w:r>
        <w:rPr>
          <w:rFonts w:hint="eastAsia" w:ascii="宋体" w:hAnsi="宋体" w:eastAsia="宋体" w:cs="宋体"/>
          <w:sz w:val="21"/>
          <w:szCs w:val="21"/>
        </w:rPr>
        <w:t>中标通知书</w:t>
      </w:r>
    </w:p>
    <w:p>
      <w:pPr>
        <w:widowControl w:val="0"/>
        <w:numPr>
          <w:ilvl w:val="0"/>
          <w:numId w:val="31"/>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中标人确定后，招标人将向其发出中标通知书。</w:t>
      </w:r>
    </w:p>
    <w:p>
      <w:pPr>
        <w:widowControl w:val="0"/>
        <w:numPr>
          <w:ilvl w:val="0"/>
          <w:numId w:val="31"/>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中标通知书是合同的一个组成部分。</w:t>
      </w:r>
    </w:p>
    <w:p>
      <w:pPr>
        <w:widowControl w:val="0"/>
        <w:numPr>
          <w:ilvl w:val="0"/>
          <w:numId w:val="31"/>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招标人发出中标通知书的同时，将评标结果通知其他投标人。招标人对未中标的投标人不作未中标原因的解释。</w:t>
      </w:r>
    </w:p>
    <w:p>
      <w:pPr>
        <w:pStyle w:val="2"/>
        <w:rPr>
          <w:rFonts w:hint="eastAsia" w:ascii="宋体" w:hAnsi="宋体" w:eastAsia="宋体" w:cs="宋体"/>
          <w:sz w:val="21"/>
          <w:szCs w:val="21"/>
        </w:rPr>
      </w:pPr>
    </w:p>
    <w:p>
      <w:pPr>
        <w:numPr>
          <w:ilvl w:val="0"/>
          <w:numId w:val="27"/>
        </w:numPr>
        <w:ind w:firstLine="420" w:firstLineChars="200"/>
        <w:rPr>
          <w:rFonts w:hint="eastAsia" w:ascii="宋体" w:hAnsi="宋体" w:eastAsia="宋体" w:cs="宋体"/>
          <w:sz w:val="21"/>
          <w:szCs w:val="21"/>
        </w:rPr>
      </w:pPr>
      <w:r>
        <w:rPr>
          <w:rFonts w:hint="eastAsia" w:ascii="宋体" w:hAnsi="宋体" w:eastAsia="宋体" w:cs="宋体"/>
          <w:sz w:val="21"/>
          <w:szCs w:val="21"/>
        </w:rPr>
        <w:t>签订合同</w:t>
      </w:r>
    </w:p>
    <w:p>
      <w:pPr>
        <w:widowControl w:val="0"/>
        <w:numPr>
          <w:ilvl w:val="0"/>
          <w:numId w:val="3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根据招标人需要，招标人与中标人签订合同。</w:t>
      </w:r>
    </w:p>
    <w:p>
      <w:pPr>
        <w:widowControl w:val="0"/>
        <w:numPr>
          <w:ilvl w:val="0"/>
          <w:numId w:val="32"/>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招标文件、中标人的投标文件及评标过程中有关澄清文件均应作为合同组成部分。</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七、保密与披露</w:t>
      </w:r>
    </w:p>
    <w:p>
      <w:pPr>
        <w:numPr>
          <w:ilvl w:val="0"/>
          <w:numId w:val="33"/>
        </w:numPr>
        <w:ind w:firstLine="420" w:firstLineChars="200"/>
        <w:rPr>
          <w:rFonts w:hint="eastAsia" w:ascii="宋体" w:hAnsi="宋体" w:eastAsia="宋体" w:cs="宋体"/>
          <w:sz w:val="21"/>
          <w:szCs w:val="21"/>
        </w:rPr>
      </w:pPr>
      <w:r>
        <w:rPr>
          <w:rFonts w:hint="eastAsia" w:ascii="宋体" w:hAnsi="宋体" w:eastAsia="宋体" w:cs="宋体"/>
          <w:sz w:val="21"/>
          <w:szCs w:val="21"/>
        </w:rPr>
        <w:t>保密与披露</w:t>
      </w:r>
    </w:p>
    <w:p>
      <w:pPr>
        <w:widowControl w:val="0"/>
        <w:numPr>
          <w:ilvl w:val="0"/>
          <w:numId w:val="3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投标人自领取招标文件之日起，须承诺承担本次招标项目的保密义务，不得将因参加本次招标获得的信息向第三方外传。</w:t>
      </w:r>
    </w:p>
    <w:p>
      <w:pPr>
        <w:widowControl w:val="0"/>
        <w:numPr>
          <w:ilvl w:val="0"/>
          <w:numId w:val="3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招标人有权将投标人提供的所有资料向负责评标的人员或与评标有关的人员披露。</w:t>
      </w:r>
    </w:p>
    <w:p>
      <w:pPr>
        <w:widowControl w:val="0"/>
        <w:numPr>
          <w:ilvl w:val="0"/>
          <w:numId w:val="34"/>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招标人有权在认为适当或任何第三者提出要求（书面或其它方式）时，无须事先征求中标人同意而披露关于已订立合同的资料、中标人的名称及地址、中标价格和合同条款等有关信息。</w:t>
      </w:r>
    </w:p>
    <w:p>
      <w:pPr>
        <w:autoSpaceDE w:val="0"/>
        <w:spacing w:line="360" w:lineRule="auto"/>
        <w:rPr>
          <w:rFonts w:hint="eastAsia" w:ascii="宋体" w:hAnsi="宋体" w:eastAsia="宋体" w:cs="宋体"/>
          <w:color w:val="000000"/>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八、其他</w:t>
      </w:r>
    </w:p>
    <w:p>
      <w:pPr>
        <w:numPr>
          <w:ilvl w:val="0"/>
          <w:numId w:val="35"/>
        </w:numPr>
        <w:ind w:firstLine="420" w:firstLineChars="200"/>
        <w:rPr>
          <w:rFonts w:hint="eastAsia" w:ascii="宋体" w:hAnsi="宋体" w:eastAsia="宋体" w:cs="宋体"/>
          <w:sz w:val="21"/>
          <w:szCs w:val="21"/>
        </w:rPr>
      </w:pPr>
      <w:r>
        <w:rPr>
          <w:rFonts w:hint="eastAsia" w:ascii="宋体" w:hAnsi="宋体" w:eastAsia="宋体" w:cs="宋体"/>
          <w:sz w:val="21"/>
          <w:szCs w:val="21"/>
        </w:rPr>
        <w:t>法律适用</w:t>
      </w:r>
    </w:p>
    <w:p>
      <w:pPr>
        <w:widowControl w:val="0"/>
        <w:numPr>
          <w:ilvl w:val="0"/>
          <w:numId w:val="3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本次招标及由本次招标产生的合同受中国法律制约和保护。</w:t>
      </w:r>
    </w:p>
    <w:p>
      <w:pPr>
        <w:widowControl w:val="0"/>
        <w:numPr>
          <w:ilvl w:val="0"/>
          <w:numId w:val="36"/>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投标人一旦领取了本招标文件并参加招标，即被认为接受了本招标文件中的其他所有条件和规定。</w:t>
      </w:r>
    </w:p>
    <w:p>
      <w:pPr>
        <w:pStyle w:val="2"/>
        <w:rPr>
          <w:rFonts w:hint="eastAsia" w:ascii="宋体" w:hAnsi="宋体" w:eastAsia="宋体" w:cs="宋体"/>
          <w:sz w:val="21"/>
          <w:szCs w:val="21"/>
        </w:rPr>
      </w:pPr>
    </w:p>
    <w:p>
      <w:pPr>
        <w:numPr>
          <w:ilvl w:val="0"/>
          <w:numId w:val="35"/>
        </w:numPr>
        <w:ind w:firstLine="420" w:firstLineChars="200"/>
        <w:rPr>
          <w:rFonts w:hint="eastAsia" w:ascii="宋体" w:hAnsi="宋体" w:eastAsia="宋体" w:cs="宋体"/>
          <w:sz w:val="21"/>
          <w:szCs w:val="21"/>
        </w:rPr>
      </w:pPr>
      <w:r>
        <w:rPr>
          <w:rFonts w:hint="eastAsia" w:ascii="宋体" w:hAnsi="宋体" w:eastAsia="宋体" w:cs="宋体"/>
          <w:sz w:val="21"/>
          <w:szCs w:val="21"/>
        </w:rPr>
        <w:t>绿色采购</w:t>
      </w:r>
    </w:p>
    <w:p>
      <w:pPr>
        <w:widowControl w:val="0"/>
        <w:numPr>
          <w:ilvl w:val="0"/>
          <w:numId w:val="37"/>
        </w:numPr>
        <w:adjustRightInd w:val="0"/>
        <w:spacing w:line="36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投标人提供的产品与服务须符合相应的国家绿色认证标准，充分考虑使用方人体健康安全、资源节约和循环利用，减少环境影响等因素。</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4"/>
        <w:rPr>
          <w:rFonts w:hint="eastAsia" w:ascii="宋体" w:hAnsi="宋体" w:eastAsia="宋体" w:cs="宋体"/>
          <w:sz w:val="28"/>
          <w:szCs w:val="28"/>
          <w:lang w:eastAsia="zh-Hans"/>
        </w:rPr>
      </w:pPr>
      <w:r>
        <w:rPr>
          <w:rFonts w:hint="eastAsia" w:ascii="宋体" w:hAnsi="宋体" w:eastAsia="宋体" w:cs="宋体"/>
          <w:sz w:val="28"/>
          <w:szCs w:val="28"/>
          <w:lang w:eastAsia="zh-Hans"/>
        </w:rPr>
        <w:t>第三章 评标办法</w:t>
      </w:r>
    </w:p>
    <w:p>
      <w:pPr>
        <w:autoSpaceDE w:val="0"/>
        <w:autoSpaceDN w:val="0"/>
        <w:spacing w:line="360" w:lineRule="auto"/>
        <w:jc w:val="center"/>
        <w:rPr>
          <w:rFonts w:hint="eastAsia" w:ascii="宋体" w:hAnsi="宋体" w:eastAsia="宋体" w:cs="宋体"/>
          <w:sz w:val="21"/>
          <w:szCs w:val="21"/>
        </w:rPr>
      </w:pPr>
      <w:r>
        <w:rPr>
          <w:rFonts w:hint="eastAsia" w:ascii="宋体" w:hAnsi="宋体" w:eastAsia="宋体" w:cs="宋体"/>
          <w:b/>
          <w:color w:val="000000"/>
          <w:sz w:val="21"/>
          <w:szCs w:val="21"/>
        </w:rPr>
        <w:t>本项目采用综合评分法</w:t>
      </w:r>
    </w:p>
    <w:p>
      <w:pPr>
        <w:autoSpaceDE w:val="0"/>
        <w:autoSpaceDN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（满分：100分）</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tbl>
      <w:tblPr>
        <w:tblStyle w:val="12"/>
        <w:tblW w:w="8754" w:type="dxa"/>
        <w:tblInd w:w="93" w:type="dxa"/>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Layout w:type="fixed"/>
        <w:tblCellMar>
          <w:top w:w="0" w:type="dxa"/>
          <w:left w:w="108" w:type="dxa"/>
          <w:bottom w:w="0" w:type="dxa"/>
          <w:right w:w="108" w:type="dxa"/>
        </w:tblCellMar>
      </w:tblPr>
      <w:tblGrid>
        <w:gridCol w:w="705"/>
        <w:gridCol w:w="1815"/>
        <w:gridCol w:w="5280"/>
        <w:gridCol w:w="954"/>
      </w:tblGrid>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tblPrEx>
        <w:tc>
          <w:tcPr>
            <w:tcW w:w="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序号</w:t>
            </w:r>
          </w:p>
        </w:tc>
        <w:tc>
          <w:tcPr>
            <w:tcW w:w="1815"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评分项目</w:t>
            </w:r>
          </w:p>
        </w:tc>
        <w:tc>
          <w:tcPr>
            <w:tcW w:w="5280"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评分内容</w:t>
            </w:r>
          </w:p>
        </w:tc>
        <w:tc>
          <w:tcPr>
            <w:tcW w:w="95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分值</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一</w:t>
            </w:r>
          </w:p>
        </w:tc>
        <w:tc>
          <w:tcPr>
            <w:tcW w:w="1815"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综合实力（20分）</w:t>
            </w:r>
          </w:p>
        </w:tc>
        <w:tc>
          <w:tcPr>
            <w:tcW w:w="528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投标人财务状况（包括资产负债、损益情况等），行业影响力，从事直播相关业务年限，业务能力。</w:t>
            </w:r>
          </w:p>
        </w:tc>
        <w:tc>
          <w:tcPr>
            <w:tcW w:w="954"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20</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优良得8～10分，较好得4～7分，一般得0～3分。</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1·2020年1月1日至投标截止日（以合同签订时间为准），投标人具有直播代运营相关案例（最多提供10个，根据与本项目内容与规模的相似性及匹配度打分）。</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2·提供公司业务介绍方案一份（包括但不限于团队介绍，业务介绍，代运营案例，账号运维，效果数据、内容策划、视觉保障、增流计划、附加服务等）：</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3.能精准理解兑吧直播与银行直播需求及目的，提炼到位，策划能力突出的；</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4.有清晰的执行计划表，明显可执行性高，响应时效强；</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5.方案能结合银行/金融相关业务或产品，联动性强的；</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6.有突发事故/舆情情况的应急机制及处理方案的。</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优良得8～10分，较好得4～7分，一般得0～3分。</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优良得3分，较好得2分，一般得0～1分。</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二</w:t>
            </w:r>
          </w:p>
        </w:tc>
        <w:tc>
          <w:tcPr>
            <w:tcW w:w="1815" w:type="dxa"/>
            <w:vMerge w:val="restart"/>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团队配置（10分）</w:t>
            </w:r>
          </w:p>
        </w:tc>
        <w:tc>
          <w:tcPr>
            <w:tcW w:w="528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团队成员包含项目PM、导播、摄像、场控、中控、导播、设计等岗位职责。横向比较投标人各成员的综合素质打分。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1、项目PM（运营岗）综合能力[0,4]分。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须提供本单位正式员工的证明材料，即劳务合同或社保机构或税务部门出具的投标截止之日前六个月内任意一个月投标人为其购买的投保单或社会保险参保人员缴费证明或单位代缴个人所得税税单复印件加盖公章；</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（2）须具备1年（含）以上专业经验，综合能力证明材料格式自拟，可为相关简历、参与过的具体项目合同等。</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（3）不提供证明材料的不得分。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2、其他成员综合能力总分[0,6]分。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证明材料格式自拟，可为相关简历、参与过的具体项目合同等，不提供证明材料的不得分。</w:t>
            </w:r>
          </w:p>
          <w:p>
            <w:pPr>
              <w:pStyle w:val="7"/>
              <w:keepNext w:val="0"/>
              <w:keepLines w:val="0"/>
              <w:widowControl/>
              <w:suppressLineNumbers w:val="0"/>
              <w:ind w:left="0" w:leftChars="0" w:firstLine="0" w:firstLineChars="0"/>
              <w:rPr>
                <w:rFonts w:hint="eastAsia" w:ascii="宋体" w:hAnsi="宋体" w:eastAsia="宋体" w:cs="宋体"/>
                <w:kern w:val="2"/>
                <w:sz w:val="21"/>
                <w:szCs w:val="21"/>
              </w:rPr>
            </w:pPr>
            <w:r>
              <w:rPr>
                <w:rFonts w:hint="eastAsia" w:ascii="宋体" w:hAnsi="宋体" w:eastAsia="宋体" w:cs="宋体"/>
                <w:color w:val="000000"/>
                <w:kern w:val="2"/>
                <w:sz w:val="21"/>
                <w:szCs w:val="21"/>
              </w:rPr>
              <w:t>项目pm岗位与中控等重要岗位需固定服务人员，不可随意更换。</w:t>
            </w:r>
          </w:p>
        </w:tc>
        <w:tc>
          <w:tcPr>
            <w:tcW w:w="954"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优良得8～10分，较好得4～7分，一般得0～3分。</w:t>
            </w:r>
          </w:p>
          <w:p>
            <w:pPr>
              <w:pStyle w:val="7"/>
              <w:keepNext w:val="0"/>
              <w:keepLines w:val="0"/>
              <w:widowControl/>
              <w:suppressLineNumbers w:val="0"/>
              <w:ind w:left="0" w:leftChars="0" w:firstLine="0" w:firstLineChars="0"/>
              <w:rPr>
                <w:rFonts w:hint="eastAsia" w:ascii="宋体" w:hAnsi="宋体" w:eastAsia="宋体" w:cs="宋体"/>
                <w:kern w:val="2"/>
                <w:sz w:val="21"/>
                <w:szCs w:val="21"/>
              </w:rPr>
            </w:pPr>
            <w:r>
              <w:rPr>
                <w:rFonts w:hint="eastAsia" w:ascii="宋体" w:hAnsi="宋体" w:eastAsia="宋体" w:cs="宋体"/>
                <w:color w:val="000000"/>
                <w:kern w:val="2"/>
                <w:sz w:val="21"/>
                <w:szCs w:val="21"/>
              </w:rPr>
              <w:t>优良得3分，较好得2分，一般得0～1分。</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rPr>
          <w:trHeight w:val="90" w:hRule="atLeast"/>
        </w:trPr>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restart"/>
            <w:tcBorders>
              <w:top w:val="nil"/>
              <w:left w:val="nil"/>
              <w:bottom w:val="nil"/>
              <w:right w:val="single" w:color="000000" w:sz="8"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增值服务（3分）</w:t>
            </w:r>
          </w:p>
        </w:tc>
        <w:tc>
          <w:tcPr>
            <w:tcW w:w="5280"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可提供的增值服务，如：设计附加服务、主播资源、行业资源、媒体资源，流量资源等，招标人同业及行业市场商情调查咨询与数据分析等。能提出有利于项目实施，并有效补充未列明之其他服务内容，供推广资源、业务咨询增值服务，一项得1.5分，最高3分，无效服务或未能提供不得分。（需同时提供书面承诺函，格式自拟，并加盖公章）</w:t>
            </w:r>
          </w:p>
        </w:tc>
        <w:tc>
          <w:tcPr>
            <w:tcW w:w="954"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815" w:type="dxa"/>
            <w:vMerge w:val="continue"/>
            <w:tcBorders>
              <w:top w:val="nil"/>
              <w:left w:val="nil"/>
              <w:bottom w:val="nil"/>
              <w:right w:val="single" w:color="000000" w:sz="8" w:space="0"/>
            </w:tcBorders>
            <w:shd w:val="clear" w:color="auto" w:fill="auto"/>
            <w:vAlign w:val="top"/>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528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优良得3分，较好得2分，一般得0～1分。</w:t>
            </w:r>
          </w:p>
        </w:tc>
        <w:tc>
          <w:tcPr>
            <w:tcW w:w="954" w:type="dxa"/>
            <w:vMerge w:val="continue"/>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rPr>
          <w:trHeight w:val="1418" w:hRule="atLeast"/>
        </w:trPr>
        <w:tc>
          <w:tcPr>
            <w:tcW w:w="705"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181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服务保障</w:t>
            </w:r>
            <w:r>
              <w:rPr>
                <w:rFonts w:hint="eastAsia" w:ascii="宋体" w:hAnsi="宋体" w:eastAsia="宋体" w:cs="宋体"/>
                <w:color w:val="000000"/>
                <w:kern w:val="2"/>
                <w:sz w:val="21"/>
                <w:szCs w:val="21"/>
                <w:lang w:val="en-US" w:eastAsia="zh-CN" w:bidi="ar"/>
              </w:rPr>
              <w:t>（2分）</w:t>
            </w:r>
          </w:p>
        </w:tc>
        <w:tc>
          <w:tcPr>
            <w:tcW w:w="528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能出具承诺函，内容包括但不限于对出现播出事故、重大舆情、版权纠纷等相关诉讼事件的应急方案、相关责任、经济补偿，并附上第一责任人签字确认及联系方式，得(0，2]分，缺失上述任何一项不得分。（格式自拟，并加盖公章）</w:t>
            </w:r>
          </w:p>
        </w:tc>
        <w:tc>
          <w:tcPr>
            <w:tcW w:w="9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rPr>
          <w:trHeight w:val="3150" w:hRule="atLeast"/>
        </w:trPr>
        <w:tc>
          <w:tcPr>
            <w:tcW w:w="7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w:t>
            </w:r>
          </w:p>
        </w:tc>
        <w:tc>
          <w:tcPr>
            <w:tcW w:w="1815" w:type="dxa"/>
            <w:tcBorders>
              <w:top w:val="nil"/>
              <w:left w:val="nil"/>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报价</w:t>
            </w:r>
            <w:r>
              <w:rPr>
                <w:rFonts w:hint="eastAsia" w:ascii="宋体" w:hAnsi="宋体" w:eastAsia="宋体" w:cs="宋体"/>
                <w:color w:val="000000"/>
                <w:kern w:val="2"/>
                <w:sz w:val="21"/>
                <w:szCs w:val="21"/>
                <w:lang w:val="en-US" w:eastAsia="zh-CN" w:bidi="ar"/>
              </w:rPr>
              <w:t>（65分）</w:t>
            </w:r>
          </w:p>
        </w:tc>
        <w:tc>
          <w:tcPr>
            <w:tcW w:w="5280"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评标价的计算：投标人应根据甲方报价模版的要求，填写报价单项价格。不接受选择性报价或者具有附加条件的报价；投标文件中如果申报了非招标文件所要求的服务和产品，评标时不予以折价降低评标价；投标人的报价经勘误和缺漏项修正、商务偏差调价后的修正值作为该投标人的评标价。</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2.价格分的计算：1、单项报价最低者获得</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取全部进入价格分评审的有效投标报价的算术平均值为基准报价；价格得分=（1-|（有效投标报价-基准报价）|/基准报价）* 65</w:t>
            </w:r>
          </w:p>
        </w:tc>
        <w:tc>
          <w:tcPr>
            <w:tcW w:w="9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65</w:t>
            </w:r>
          </w:p>
        </w:tc>
      </w:tr>
      <w:tr>
        <w:tblPrEx>
          <w:tblBorders>
            <w:top w:val="none" w:color="auto" w:sz="6" w:space="0"/>
            <w:left w:val="none" w:color="auto" w:sz="6" w:space="0"/>
            <w:bottom w:val="none" w:color="auto" w:sz="6" w:space="0"/>
            <w:right w:val="none" w:color="auto" w:sz="6" w:space="0"/>
            <w:insideH w:val="none" w:color="auto" w:sz="6" w:space="0"/>
            <w:insideV w:val="none" w:color="auto" w:sz="6" w:space="0"/>
          </w:tblBorders>
          <w:shd w:val="clear" w:color="auto" w:fill="auto"/>
        </w:tblPrEx>
        <w:tc>
          <w:tcPr>
            <w:tcW w:w="705"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合计</w:t>
            </w:r>
          </w:p>
        </w:tc>
        <w:tc>
          <w:tcPr>
            <w:tcW w:w="7095"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以上各项之和即为投标人综合得分</w:t>
            </w:r>
          </w:p>
        </w:tc>
        <w:tc>
          <w:tcPr>
            <w:tcW w:w="9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100</w:t>
            </w:r>
          </w:p>
        </w:tc>
      </w:tr>
    </w:tbl>
    <w:p>
      <w:pPr>
        <w:keepNext w:val="0"/>
        <w:keepLines w:val="0"/>
        <w:widowControl/>
        <w:suppressLineNumbers w:val="0"/>
        <w:autoSpaceDE w:val="0"/>
        <w:autoSpaceDN w:val="0"/>
        <w:spacing w:before="0" w:beforeAutospacing="0" w:after="0" w:afterAutospacing="0" w:line="312" w:lineRule="auto"/>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suppressLineNumbers w:val="0"/>
        <w:autoSpaceDE w:val="0"/>
        <w:autoSpaceDN w:val="0"/>
        <w:spacing w:before="0" w:beforeAutospacing="0" w:after="0" w:afterAutospacing="0" w:line="312" w:lineRule="auto"/>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suppressLineNumbers w:val="0"/>
        <w:autoSpaceDE w:val="0"/>
        <w:autoSpaceDN w:val="0"/>
        <w:spacing w:before="0" w:beforeAutospacing="0" w:after="0" w:afterAutospacing="0" w:line="312" w:lineRule="auto"/>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备注：</w:t>
      </w:r>
    </w:p>
    <w:p>
      <w:pPr>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b/>
          <w:bCs w:val="0"/>
          <w:color w:val="000000"/>
          <w:kern w:val="2"/>
          <w:sz w:val="21"/>
          <w:szCs w:val="21"/>
          <w:lang w:val="en-US" w:eastAsia="zh-CN" w:bidi="ar"/>
        </w:rPr>
        <w:t>1.计算得分应四舍五入，精确到小数点后两位。</w:t>
      </w:r>
    </w:p>
    <w:p>
      <w:pPr>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b/>
          <w:bCs w:val="0"/>
          <w:color w:val="000000"/>
          <w:kern w:val="2"/>
          <w:sz w:val="21"/>
          <w:szCs w:val="21"/>
          <w:lang w:val="en-US" w:eastAsia="zh-CN" w:bidi="ar"/>
        </w:rPr>
        <w:t>2.在评标过程中，评标委员会发现投标人的报价明显低于其他投标报价，使得其投标报价可能低于其个别成本的，将可能要求该投标人作出书面说明并提供相关证明材料。投标人不能合理说明或者不能提供相关证明材料的，由评标委员会认定该投标人以低于成本报价竞标，将可能否决其投标。</w:t>
      </w:r>
    </w:p>
    <w:p>
      <w:pPr>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3、本项目评标为确定入围供应商，合作中以询价价低者为实际供应商。</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pStyle w:val="4"/>
        <w:rPr>
          <w:rFonts w:hint="eastAsia" w:ascii="宋体" w:hAnsi="宋体" w:eastAsia="宋体" w:cs="宋体"/>
          <w:sz w:val="28"/>
          <w:szCs w:val="28"/>
          <w:lang w:eastAsia="zh-Hans"/>
        </w:rPr>
      </w:pPr>
    </w:p>
    <w:p>
      <w:pPr>
        <w:pStyle w:val="4"/>
        <w:jc w:val="both"/>
        <w:rPr>
          <w:rFonts w:hint="eastAsia" w:ascii="宋体" w:hAnsi="宋体" w:eastAsia="宋体" w:cs="宋体"/>
          <w:sz w:val="28"/>
          <w:szCs w:val="28"/>
          <w:lang w:eastAsia="zh-Hans"/>
        </w:rPr>
      </w:pPr>
    </w:p>
    <w:p>
      <w:pPr>
        <w:pStyle w:val="4"/>
        <w:jc w:val="center"/>
        <w:rPr>
          <w:rFonts w:hint="eastAsia" w:ascii="宋体" w:hAnsi="宋体" w:eastAsia="宋体" w:cs="宋体"/>
          <w:sz w:val="28"/>
          <w:szCs w:val="28"/>
          <w:lang w:eastAsia="zh-Hans"/>
        </w:rPr>
      </w:pPr>
      <w:r>
        <w:rPr>
          <w:rFonts w:hint="eastAsia" w:ascii="宋体" w:hAnsi="宋体" w:eastAsia="宋体" w:cs="宋体"/>
          <w:sz w:val="28"/>
          <w:szCs w:val="28"/>
          <w:lang w:eastAsia="zh-Hans"/>
        </w:rPr>
        <w:t>第四章 技术要求与服务内容</w:t>
      </w:r>
    </w:p>
    <w:p>
      <w:pPr>
        <w:numPr>
          <w:ilvl w:val="0"/>
          <w:numId w:val="0"/>
        </w:numPr>
        <w:spacing w:line="360" w:lineRule="auto"/>
        <w:ind w:leftChars="200"/>
        <w:jc w:val="both"/>
        <w:rPr>
          <w:rFonts w:hint="eastAsia" w:ascii="宋体" w:hAnsi="宋体" w:eastAsia="宋体" w:cs="宋体"/>
          <w:b/>
          <w:bCs/>
          <w:color w:val="000000"/>
          <w:sz w:val="22"/>
          <w:szCs w:val="22"/>
        </w:rPr>
      </w:pPr>
      <w:r>
        <w:rPr>
          <w:rFonts w:hint="eastAsia" w:ascii="宋体" w:hAnsi="宋体" w:eastAsia="宋体" w:cs="宋体"/>
          <w:b/>
          <w:bCs/>
          <w:color w:val="000000"/>
          <w:sz w:val="22"/>
          <w:szCs w:val="22"/>
          <w:lang w:val="en-US" w:eastAsia="zh-Hans"/>
        </w:rPr>
        <w:t>一、</w:t>
      </w:r>
      <w:r>
        <w:rPr>
          <w:rFonts w:hint="eastAsia" w:ascii="宋体" w:hAnsi="宋体" w:eastAsia="宋体" w:cs="宋体"/>
          <w:b/>
          <w:bCs/>
          <w:color w:val="000000"/>
          <w:sz w:val="22"/>
          <w:szCs w:val="22"/>
        </w:rPr>
        <w:t>入围后的采购方案</w:t>
      </w:r>
    </w:p>
    <w:p>
      <w:pPr>
        <w:pStyle w:val="2"/>
        <w:numPr>
          <w:ilvl w:val="0"/>
          <w:numId w:val="0"/>
        </w:numPr>
        <w:ind w:leftChars="200"/>
        <w:rPr>
          <w:rFonts w:hint="eastAsia" w:ascii="宋体" w:hAnsi="宋体" w:eastAsia="宋体" w:cs="宋体"/>
          <w:color w:val="000000"/>
          <w:sz w:val="21"/>
          <w:szCs w:val="21"/>
        </w:rPr>
      </w:pPr>
      <w:r>
        <w:rPr>
          <w:rFonts w:hint="eastAsia" w:ascii="宋体" w:hAnsi="宋体" w:eastAsia="宋体" w:cs="宋体"/>
          <w:sz w:val="21"/>
          <w:szCs w:val="21"/>
        </w:rPr>
        <w:t>在协议期内，</w:t>
      </w:r>
      <w:r>
        <w:rPr>
          <w:rFonts w:hint="eastAsia" w:ascii="宋体" w:hAnsi="宋体" w:eastAsia="宋体" w:cs="宋体"/>
          <w:color w:val="000000"/>
          <w:sz w:val="21"/>
          <w:szCs w:val="21"/>
        </w:rPr>
        <w:t>兑吧侧按照场次像供应商提出直播需求，供应商按照需求文档输出直播解决方案（含流量方案、选品策略、转化策略、直播流程、直播脚本、宣发文案等）并提供直播运营所需的项目人力，在兑吧自有直播小程序内完成直播需求后，按月结算。</w:t>
      </w:r>
    </w:p>
    <w:p>
      <w:pPr>
        <w:rPr>
          <w:rFonts w:hint="eastAsia" w:ascii="宋体" w:hAnsi="宋体" w:eastAsia="宋体" w:cs="宋体"/>
          <w:sz w:val="21"/>
          <w:szCs w:val="21"/>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2"/>
          <w:szCs w:val="22"/>
        </w:rPr>
      </w:pPr>
      <w:r>
        <w:rPr>
          <w:rFonts w:hint="eastAsia" w:ascii="宋体" w:hAnsi="宋体" w:eastAsia="宋体" w:cs="宋体"/>
          <w:sz w:val="22"/>
          <w:szCs w:val="22"/>
        </w:rPr>
        <w:t>二、服务要求</w:t>
      </w:r>
    </w:p>
    <w:p>
      <w:pPr>
        <w:numPr>
          <w:ilvl w:val="0"/>
          <w:numId w:val="38"/>
        </w:numPr>
        <w:spacing w:line="360" w:lineRule="auto"/>
        <w:ind w:left="-400" w:leftChars="0" w:firstLine="400" w:firstLineChars="0"/>
        <w:rPr>
          <w:rFonts w:hint="eastAsia"/>
        </w:rPr>
      </w:pPr>
      <w:r>
        <w:rPr>
          <w:rFonts w:hint="default" w:ascii="宋体" w:hAnsi="宋体" w:cs="宋体"/>
          <w:sz w:val="21"/>
          <w:szCs w:val="21"/>
        </w:rPr>
        <w:t xml:space="preserve"> </w:t>
      </w:r>
      <w:r>
        <w:rPr>
          <w:rFonts w:hint="eastAsia" w:ascii="宋体" w:hAnsi="宋体" w:eastAsia="宋体" w:cs="宋体"/>
          <w:sz w:val="21"/>
          <w:szCs w:val="21"/>
        </w:rPr>
        <w:t>技术能力要求。</w:t>
      </w:r>
    </w:p>
    <w:p>
      <w:pPr>
        <w:widowControl w:val="0"/>
        <w:numPr>
          <w:ilvl w:val="0"/>
          <w:numId w:val="39"/>
        </w:numPr>
        <w:adjustRightInd w:val="0"/>
        <w:spacing w:line="360" w:lineRule="auto"/>
        <w:ind w:firstLineChars="200"/>
        <w:jc w:val="both"/>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具备数据分析能力，可应对市场变化、客户喜好，向兑吧提出主题活动方案、商品分析报告、潮品爆品推荐等。</w:t>
      </w:r>
    </w:p>
    <w:p>
      <w:pPr>
        <w:numPr>
          <w:ilvl w:val="0"/>
          <w:numId w:val="38"/>
        </w:numPr>
        <w:spacing w:line="360" w:lineRule="auto"/>
        <w:ind w:left="-400" w:leftChars="0" w:firstLine="400" w:firstLineChars="0"/>
        <w:rPr>
          <w:rFonts w:hint="eastAsia" w:ascii="宋体" w:hAnsi="宋体" w:eastAsia="宋体" w:cs="宋体"/>
          <w:sz w:val="21"/>
          <w:szCs w:val="21"/>
        </w:rPr>
      </w:pPr>
      <w:r>
        <w:rPr>
          <w:rFonts w:hint="eastAsia" w:ascii="宋体" w:hAnsi="宋体" w:eastAsia="宋体" w:cs="宋体"/>
          <w:sz w:val="21"/>
          <w:szCs w:val="21"/>
        </w:rPr>
        <w:t>交付能力要求。</w:t>
      </w:r>
    </w:p>
    <w:p>
      <w:pPr>
        <w:pStyle w:val="2"/>
        <w:rPr>
          <w:rFonts w:hint="eastAsia" w:ascii="宋体" w:hAnsi="宋体" w:eastAsia="宋体" w:cs="宋体"/>
          <w:sz w:val="21"/>
          <w:szCs w:val="21"/>
        </w:rPr>
      </w:pPr>
      <w:r>
        <w:rPr>
          <w:rFonts w:hint="eastAsia" w:ascii="宋体" w:hAnsi="宋体" w:eastAsia="宋体" w:cs="宋体"/>
          <w:sz w:val="21"/>
          <w:szCs w:val="21"/>
        </w:rPr>
        <w:t xml:space="preserve">    1：在接收直播需求后，当日响应，按照需求文件在约定的时间内提供直播方案，并如期完成交付；</w:t>
      </w:r>
    </w:p>
    <w:p>
      <w:pPr>
        <w:pStyle w:val="2"/>
        <w:rPr>
          <w:rFonts w:hint="eastAsia" w:ascii="宋体" w:hAnsi="宋体" w:eastAsia="宋体" w:cs="宋体"/>
          <w:sz w:val="21"/>
          <w:szCs w:val="21"/>
        </w:rPr>
      </w:pPr>
      <w:r>
        <w:rPr>
          <w:rFonts w:hint="eastAsia" w:ascii="宋体" w:hAnsi="宋体" w:eastAsia="宋体" w:cs="宋体"/>
          <w:sz w:val="21"/>
          <w:szCs w:val="21"/>
        </w:rPr>
        <w:t xml:space="preserve">    2：能提供直播场地、设备及主播；</w:t>
      </w:r>
    </w:p>
    <w:p>
      <w:pPr>
        <w:keepNext w:val="0"/>
        <w:keepLines w:val="0"/>
        <w:widowControl w:val="0"/>
        <w:numPr>
          <w:ilvl w:val="0"/>
          <w:numId w:val="0"/>
        </w:numPr>
        <w:suppressLineNumbers w:val="0"/>
        <w:adjustRightInd w:val="0"/>
        <w:spacing w:before="0" w:beforeAutospacing="0" w:after="0" w:afterAutospacing="0" w:line="360" w:lineRule="auto"/>
        <w:ind w:left="0" w:leftChars="0" w:right="0" w:rightChars="0" w:firstLine="0" w:firstLineChars="0"/>
        <w:jc w:val="both"/>
        <w:textAlignment w:val="baseline"/>
        <w:rPr>
          <w:rFonts w:hint="eastAsia" w:ascii="宋体" w:hAnsi="宋体" w:eastAsia="宋体" w:cs="宋体"/>
          <w:kern w:val="2"/>
          <w:sz w:val="21"/>
          <w:szCs w:val="21"/>
          <w:vertAlign w:val="baseline"/>
        </w:rPr>
      </w:pPr>
      <w:r>
        <w:rPr>
          <w:rFonts w:hint="eastAsia" w:ascii="宋体" w:hAnsi="宋体" w:eastAsia="宋体" w:cs="宋体"/>
          <w:sz w:val="21"/>
          <w:szCs w:val="21"/>
        </w:rPr>
        <w:t xml:space="preserve">    3：</w:t>
      </w:r>
      <w:r>
        <w:rPr>
          <w:rFonts w:hint="eastAsia" w:ascii="宋体" w:hAnsi="宋体" w:eastAsia="宋体" w:cs="宋体"/>
          <w:kern w:val="2"/>
          <w:sz w:val="21"/>
          <w:szCs w:val="21"/>
          <w:vertAlign w:val="baseline"/>
          <w:lang w:val="en-US" w:eastAsia="zh-CN" w:bidi="ar"/>
        </w:rPr>
        <w:t>供应商承诺提供的所有</w:t>
      </w:r>
      <w:r>
        <w:rPr>
          <w:rFonts w:hint="eastAsia" w:ascii="宋体" w:hAnsi="宋体" w:eastAsia="宋体" w:cs="宋体"/>
          <w:kern w:val="2"/>
          <w:sz w:val="21"/>
          <w:szCs w:val="21"/>
          <w:vertAlign w:val="baseline"/>
          <w:lang w:eastAsia="zh-CN" w:bidi="ar"/>
        </w:rPr>
        <w:t>宣传素材</w:t>
      </w:r>
      <w:r>
        <w:rPr>
          <w:rFonts w:hint="eastAsia" w:ascii="宋体" w:hAnsi="宋体" w:eastAsia="宋体" w:cs="宋体"/>
          <w:kern w:val="2"/>
          <w:sz w:val="21"/>
          <w:szCs w:val="21"/>
          <w:vertAlign w:val="baseline"/>
          <w:lang w:val="en-US" w:eastAsia="zh-CN" w:bidi="ar"/>
        </w:rPr>
        <w:t>来源合法合规，有正规</w:t>
      </w:r>
      <w:r>
        <w:rPr>
          <w:rFonts w:hint="eastAsia" w:ascii="宋体" w:hAnsi="宋体" w:eastAsia="宋体" w:cs="宋体"/>
          <w:kern w:val="2"/>
          <w:sz w:val="21"/>
          <w:szCs w:val="21"/>
          <w:vertAlign w:val="baseline"/>
          <w:lang w:eastAsia="zh-CN" w:bidi="ar"/>
        </w:rPr>
        <w:t>资质。</w:t>
      </w:r>
    </w:p>
    <w:p>
      <w:pPr>
        <w:pStyle w:val="2"/>
        <w:rPr>
          <w:rFonts w:hint="eastAsia" w:ascii="宋体" w:hAnsi="宋体" w:eastAsia="宋体" w:cs="宋体"/>
          <w:sz w:val="21"/>
          <w:szCs w:val="21"/>
        </w:rPr>
      </w:pPr>
    </w:p>
    <w:p>
      <w:pPr>
        <w:numPr>
          <w:ilvl w:val="0"/>
          <w:numId w:val="38"/>
        </w:numPr>
        <w:spacing w:line="360" w:lineRule="auto"/>
        <w:ind w:left="-400" w:leftChars="0" w:firstLine="400" w:firstLineChars="0"/>
        <w:rPr>
          <w:rFonts w:hint="eastAsia" w:ascii="宋体" w:hAnsi="宋体" w:eastAsia="宋体" w:cs="宋体"/>
          <w:sz w:val="21"/>
          <w:szCs w:val="21"/>
        </w:rPr>
      </w:pPr>
      <w:r>
        <w:rPr>
          <w:rFonts w:hint="eastAsia" w:ascii="宋体" w:hAnsi="宋体" w:eastAsia="宋体" w:cs="宋体"/>
          <w:sz w:val="21"/>
          <w:szCs w:val="21"/>
        </w:rPr>
        <w:t>项目团队人员配置及服务能力要求。</w:t>
      </w:r>
    </w:p>
    <w:p>
      <w:pPr>
        <w:widowControl w:val="0"/>
        <w:numPr>
          <w:ilvl w:val="0"/>
          <w:numId w:val="0"/>
        </w:numPr>
        <w:adjustRightInd w:val="0"/>
        <w:spacing w:line="360" w:lineRule="auto"/>
        <w:ind w:leftChars="200"/>
        <w:jc w:val="both"/>
        <w:textAlignment w:val="baseline"/>
        <w:rPr>
          <w:rFonts w:hint="eastAsia"/>
        </w:rPr>
      </w:pPr>
      <w:r>
        <w:rPr>
          <w:rFonts w:hint="default" w:ascii="宋体" w:hAnsi="宋体" w:eastAsia="宋体" w:cs="宋体"/>
          <w:sz w:val="21"/>
          <w:szCs w:val="21"/>
        </w:rPr>
        <w:t xml:space="preserve">    </w:t>
      </w:r>
      <w:r>
        <w:rPr>
          <w:rFonts w:hint="eastAsia" w:ascii="宋体" w:hAnsi="宋体" w:eastAsia="宋体" w:cs="宋体"/>
          <w:sz w:val="21"/>
          <w:szCs w:val="21"/>
        </w:rPr>
        <w:t>供应商须为兑吧设置专门的项目团队，负责对接兑吧商品</w:t>
      </w:r>
      <w:r>
        <w:rPr>
          <w:rFonts w:hint="eastAsia" w:ascii="宋体" w:hAnsi="宋体" w:eastAsia="宋体" w:cs="宋体"/>
          <w:sz w:val="21"/>
          <w:szCs w:val="21"/>
          <w:lang w:val="en-US" w:eastAsia="zh-Hans"/>
        </w:rPr>
        <w:t>直播</w:t>
      </w:r>
      <w:r>
        <w:rPr>
          <w:rFonts w:hint="eastAsia" w:ascii="宋体" w:hAnsi="宋体" w:eastAsia="宋体" w:cs="宋体"/>
          <w:sz w:val="21"/>
          <w:szCs w:val="21"/>
        </w:rPr>
        <w:t>相关业务的活动响应、技术开发、日常运营、财务结算等工</w:t>
      </w:r>
      <w:r>
        <w:rPr>
          <w:rFonts w:hint="eastAsia" w:ascii="宋体" w:hAnsi="宋体" w:eastAsia="宋体" w:cs="宋体"/>
          <w:color w:val="000000"/>
          <w:sz w:val="21"/>
          <w:szCs w:val="21"/>
        </w:rPr>
        <w:t>作。项目</w:t>
      </w:r>
      <w:r>
        <w:rPr>
          <w:rFonts w:hint="default" w:ascii="宋体" w:hAnsi="宋体" w:eastAsia="宋体" w:cs="宋体"/>
          <w:color w:val="000000"/>
          <w:sz w:val="21"/>
          <w:szCs w:val="21"/>
        </w:rPr>
        <w:t>PM</w:t>
      </w:r>
      <w:r>
        <w:rPr>
          <w:rFonts w:hint="eastAsia" w:ascii="宋体" w:hAnsi="宋体" w:eastAsia="宋体" w:cs="宋体"/>
          <w:color w:val="000000"/>
          <w:sz w:val="21"/>
          <w:szCs w:val="21"/>
        </w:rPr>
        <w:t>应具备两年（含）以上</w:t>
      </w:r>
      <w:r>
        <w:rPr>
          <w:rFonts w:hint="eastAsia" w:ascii="宋体" w:hAnsi="宋体" w:eastAsia="宋体" w:cs="宋体"/>
          <w:color w:val="000000"/>
          <w:sz w:val="21"/>
          <w:szCs w:val="21"/>
          <w:lang w:val="en-US" w:eastAsia="zh-Hans"/>
        </w:rPr>
        <w:t>直播</w:t>
      </w:r>
      <w:r>
        <w:rPr>
          <w:rFonts w:hint="eastAsia" w:ascii="宋体" w:hAnsi="宋体" w:eastAsia="宋体" w:cs="宋体"/>
          <w:color w:val="000000"/>
          <w:sz w:val="21"/>
          <w:szCs w:val="21"/>
        </w:rPr>
        <w:t>运营经验</w:t>
      </w:r>
      <w:r>
        <w:rPr>
          <w:rFonts w:hint="default" w:ascii="宋体" w:hAnsi="宋体" w:eastAsia="宋体" w:cs="宋体"/>
          <w:color w:val="000000"/>
          <w:sz w:val="21"/>
          <w:szCs w:val="21"/>
        </w:rPr>
        <w:t>、中控、摄像兼导播、设计等</w:t>
      </w:r>
      <w:r>
        <w:rPr>
          <w:rFonts w:hint="eastAsia" w:ascii="宋体" w:hAnsi="宋体" w:eastAsia="宋体" w:cs="宋体"/>
          <w:color w:val="000000"/>
          <w:sz w:val="21"/>
          <w:szCs w:val="21"/>
        </w:rPr>
        <w:t>应具备</w:t>
      </w:r>
      <w:r>
        <w:rPr>
          <w:rFonts w:hint="default" w:ascii="宋体" w:hAnsi="宋体" w:eastAsia="宋体" w:cs="宋体"/>
          <w:color w:val="000000"/>
          <w:sz w:val="21"/>
          <w:szCs w:val="21"/>
        </w:rPr>
        <w:t>一</w:t>
      </w:r>
      <w:r>
        <w:rPr>
          <w:rFonts w:hint="eastAsia" w:ascii="宋体" w:hAnsi="宋体" w:eastAsia="宋体" w:cs="宋体"/>
          <w:color w:val="000000"/>
          <w:sz w:val="21"/>
          <w:szCs w:val="21"/>
        </w:rPr>
        <w:t>年（含）以上</w:t>
      </w:r>
      <w:r>
        <w:rPr>
          <w:rFonts w:hint="eastAsia" w:ascii="宋体" w:hAnsi="宋体" w:eastAsia="宋体" w:cs="宋体"/>
          <w:color w:val="000000"/>
          <w:sz w:val="21"/>
          <w:szCs w:val="21"/>
          <w:lang w:val="en-US" w:eastAsia="zh-Hans"/>
        </w:rPr>
        <w:t>直播</w:t>
      </w:r>
      <w:r>
        <w:rPr>
          <w:rFonts w:hint="eastAsia" w:ascii="宋体" w:hAnsi="宋体" w:eastAsia="宋体" w:cs="宋体"/>
          <w:color w:val="000000"/>
          <w:sz w:val="21"/>
          <w:szCs w:val="21"/>
        </w:rPr>
        <w:t>运营经验</w:t>
      </w:r>
      <w:r>
        <w:rPr>
          <w:rFonts w:hint="default" w:ascii="宋体" w:hAnsi="宋体" w:eastAsia="宋体" w:cs="宋体"/>
          <w:color w:val="000000"/>
          <w:sz w:val="21"/>
          <w:szCs w:val="21"/>
        </w:rPr>
        <w:t>；</w:t>
      </w:r>
    </w:p>
    <w:p>
      <w:pPr>
        <w:numPr>
          <w:ilvl w:val="0"/>
          <w:numId w:val="38"/>
        </w:numPr>
        <w:spacing w:line="360" w:lineRule="auto"/>
        <w:ind w:left="-400" w:leftChars="0" w:firstLine="400" w:firstLineChars="0"/>
        <w:rPr>
          <w:rFonts w:hint="eastAsia" w:ascii="宋体" w:hAnsi="宋体" w:eastAsia="宋体" w:cs="宋体"/>
          <w:sz w:val="21"/>
          <w:szCs w:val="21"/>
        </w:rPr>
      </w:pPr>
      <w:r>
        <w:rPr>
          <w:rFonts w:hint="eastAsia" w:ascii="宋体" w:hAnsi="宋体" w:eastAsia="宋体" w:cs="宋体"/>
          <w:sz w:val="21"/>
          <w:szCs w:val="21"/>
        </w:rPr>
        <w:t>风险管理能力、合规情况、保密承诺等。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供应商必须建立严格的人员和设备管理制度，负责承担由其内部工作人员的道德风险和操作风险带来的相关损失。</w:t>
      </w:r>
    </w:p>
    <w:p>
      <w:pPr>
        <w:widowControl w:val="0"/>
        <w:numPr>
          <w:ilvl w:val="0"/>
          <w:numId w:val="40"/>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供应商应具备系统的人员招聘及管理机制，严格按照法律规定对员工进行招聘和管理。</w:t>
      </w:r>
    </w:p>
    <w:p>
      <w:pPr>
        <w:widowControl w:val="0"/>
        <w:numPr>
          <w:ilvl w:val="0"/>
          <w:numId w:val="40"/>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供应商应与所有正式、非正式员工签订保密协议。</w:t>
      </w:r>
    </w:p>
    <w:p>
      <w:pPr>
        <w:widowControl w:val="0"/>
        <w:numPr>
          <w:ilvl w:val="0"/>
          <w:numId w:val="40"/>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供应商应向相关人员进行专业培训。培训需有全面的客户服务培训计划和记录，经专业培训及测试通过的人员方可上岗作业。</w:t>
      </w:r>
    </w:p>
    <w:p>
      <w:pPr>
        <w:widowControl w:val="0"/>
        <w:numPr>
          <w:ilvl w:val="0"/>
          <w:numId w:val="40"/>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供应商应建立严格的保密机制，防止信息泄露。在中标后与兑吧签订保密协议，以确保兑吧及个人客户信息数据的安全性。</w:t>
      </w:r>
    </w:p>
    <w:p>
      <w:pPr>
        <w:widowControl w:val="0"/>
        <w:numPr>
          <w:ilvl w:val="0"/>
          <w:numId w:val="40"/>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 xml:space="preserve">供应商应建立严格的计算机及生产设备安全管理机制。 </w:t>
      </w:r>
    </w:p>
    <w:p>
      <w:pPr>
        <w:keepNext w:val="0"/>
        <w:keepLines w:val="0"/>
        <w:widowControl/>
        <w:numPr>
          <w:ilvl w:val="0"/>
          <w:numId w:val="0"/>
        </w:numPr>
        <w:suppressLineNumbers w:val="0"/>
        <w:spacing w:before="0" w:beforeAutospacing="0" w:after="0" w:afterAutospacing="0" w:line="360" w:lineRule="auto"/>
        <w:ind w:leftChars="200" w:right="0" w:rightChars="0"/>
        <w:jc w:val="left"/>
        <w:rPr>
          <w:rFonts w:hint="eastAsia" w:ascii="宋体" w:hAnsi="宋体" w:eastAsia="宋体" w:cs="宋体"/>
          <w:kern w:val="2"/>
          <w:sz w:val="21"/>
          <w:szCs w:val="21"/>
          <w:lang w:eastAsia="zh-CN" w:bidi="ar"/>
        </w:rPr>
      </w:pPr>
      <w:r>
        <w:rPr>
          <w:rFonts w:hint="eastAsia" w:ascii="宋体" w:hAnsi="宋体" w:cs="宋体"/>
          <w:color w:val="000000" w:themeColor="text1"/>
          <w:kern w:val="2"/>
          <w:sz w:val="21"/>
          <w:szCs w:val="21"/>
          <w:lang w:val="en-US" w:eastAsia="zh-Hans" w:bidi="ar"/>
          <w14:textFill>
            <w14:solidFill>
              <w14:schemeClr w14:val="tx1"/>
            </w14:solidFill>
          </w14:textFill>
        </w:rPr>
        <w:t>（一）</w:t>
      </w:r>
      <w:r>
        <w:rPr>
          <w:rFonts w:hint="eastAsia" w:ascii="宋体" w:hAnsi="宋体" w:eastAsia="宋体" w:cs="宋体"/>
          <w:color w:val="000000" w:themeColor="text1"/>
          <w:kern w:val="2"/>
          <w:sz w:val="21"/>
          <w:szCs w:val="21"/>
          <w:lang w:val="en-US" w:eastAsia="zh-CN" w:bidi="ar"/>
          <w14:textFill>
            <w14:solidFill>
              <w14:schemeClr w14:val="tx1"/>
            </w14:solidFill>
          </w14:textFill>
        </w:rPr>
        <w:t>行业</w:t>
      </w:r>
      <w:r>
        <w:rPr>
          <w:rFonts w:hint="eastAsia" w:ascii="宋体" w:hAnsi="宋体" w:eastAsia="宋体" w:cs="宋体"/>
          <w:kern w:val="2"/>
          <w:sz w:val="21"/>
          <w:szCs w:val="21"/>
          <w:lang w:val="en-US" w:eastAsia="zh-CN" w:bidi="ar"/>
        </w:rPr>
        <w:t>规范要求、服务标准、服务遵循的质量体系标准。供应商必须具备兑吧认可的、完善的</w:t>
      </w:r>
      <w:r>
        <w:rPr>
          <w:rFonts w:hint="eastAsia" w:ascii="宋体" w:hAnsi="宋体" w:eastAsia="宋体" w:cs="宋体"/>
          <w:kern w:val="2"/>
          <w:sz w:val="21"/>
          <w:szCs w:val="21"/>
          <w:lang w:eastAsia="zh-CN" w:bidi="ar"/>
        </w:rPr>
        <w:t>直播代运营承接服务能力；</w:t>
      </w:r>
    </w:p>
    <w:p>
      <w:pPr>
        <w:widowControl w:val="0"/>
        <w:adjustRightInd w:val="0"/>
        <w:spacing w:line="360" w:lineRule="auto"/>
        <w:ind w:firstLine="420" w:firstLineChars="200"/>
        <w:jc w:val="both"/>
        <w:textAlignment w:val="baseline"/>
        <w:rPr>
          <w:rFonts w:hint="default" w:ascii="宋体" w:hAnsi="宋体" w:eastAsia="宋体" w:cs="宋体"/>
          <w:sz w:val="21"/>
          <w:szCs w:val="21"/>
          <w:lang w:val="en-US" w:eastAsia="zh-Hans"/>
        </w:rPr>
      </w:pPr>
      <w:r>
        <w:rPr>
          <w:rFonts w:hint="eastAsia" w:cs="宋体"/>
          <w:sz w:val="21"/>
          <w:szCs w:val="21"/>
          <w:lang w:eastAsia="zh-Hans"/>
        </w:rPr>
        <w:t>（</w:t>
      </w:r>
      <w:r>
        <w:rPr>
          <w:rFonts w:hint="eastAsia" w:cs="宋体"/>
          <w:sz w:val="21"/>
          <w:szCs w:val="21"/>
          <w:lang w:val="en-US" w:eastAsia="zh-Hans"/>
        </w:rPr>
        <w:t>二）</w:t>
      </w:r>
      <w:r>
        <w:rPr>
          <w:rFonts w:hint="eastAsia" w:ascii="宋体" w:hAnsi="宋体" w:eastAsia="宋体" w:cs="宋体"/>
          <w:sz w:val="21"/>
          <w:szCs w:val="21"/>
        </w:rPr>
        <w:t>供应商考核与检查具体根据兑吧</w:t>
      </w:r>
      <w:r>
        <w:rPr>
          <w:rFonts w:hint="eastAsia" w:ascii="宋体" w:hAnsi="宋体" w:eastAsia="宋体" w:cs="宋体"/>
          <w:sz w:val="21"/>
          <w:szCs w:val="21"/>
          <w:lang w:val="en-US" w:eastAsia="zh-Hans"/>
        </w:rPr>
        <w:t>供应商</w:t>
      </w:r>
      <w:r>
        <w:rPr>
          <w:rFonts w:hint="eastAsia" w:ascii="宋体" w:hAnsi="宋体" w:eastAsia="宋体" w:cs="宋体"/>
          <w:sz w:val="21"/>
          <w:szCs w:val="21"/>
        </w:rPr>
        <w:t>管理规则规定。</w:t>
      </w:r>
    </w:p>
    <w:p>
      <w:pPr>
        <w:pStyle w:val="2"/>
        <w:rPr>
          <w:rFonts w:hint="eastAsia"/>
        </w:rPr>
      </w:pPr>
    </w:p>
    <w:p>
      <w:pPr>
        <w:pStyle w:val="4"/>
        <w:widowControl w:val="0"/>
        <w:tabs>
          <w:tab w:val="left" w:pos="142"/>
          <w:tab w:val="left" w:pos="567"/>
        </w:tabs>
        <w:adjustRightInd/>
        <w:spacing w:before="0"/>
        <w:ind w:left="420" w:firstLine="6"/>
        <w:jc w:val="both"/>
        <w:textAlignment w:val="auto"/>
        <w:rPr>
          <w:rFonts w:hint="eastAsia" w:ascii="宋体" w:hAnsi="宋体" w:eastAsia="宋体" w:cs="宋体"/>
          <w:sz w:val="21"/>
          <w:szCs w:val="21"/>
        </w:rPr>
      </w:pPr>
      <w:r>
        <w:rPr>
          <w:rFonts w:hint="eastAsia" w:ascii="宋体" w:hAnsi="宋体" w:eastAsia="宋体" w:cs="宋体"/>
          <w:sz w:val="21"/>
          <w:szCs w:val="21"/>
        </w:rPr>
        <w:t>三、结算及其他要求</w:t>
      </w:r>
    </w:p>
    <w:p>
      <w:pPr>
        <w:numPr>
          <w:ilvl w:val="0"/>
          <w:numId w:val="41"/>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付款方式。</w:t>
      </w:r>
    </w:p>
    <w:p>
      <w:pPr>
        <w:widowControl w:val="0"/>
        <w:numPr>
          <w:ilvl w:val="0"/>
          <w:numId w:val="42"/>
        </w:numPr>
        <w:adjustRightInd w:val="0"/>
        <w:spacing w:line="360" w:lineRule="auto"/>
        <w:ind w:left="-190" w:leftChars="0" w:firstLineChars="0"/>
        <w:jc w:val="both"/>
        <w:textAlignment w:val="baseline"/>
        <w:rPr>
          <w:rFonts w:hint="eastAsia" w:ascii="宋体" w:hAnsi="宋体" w:eastAsia="宋体" w:cs="宋体"/>
          <w:sz w:val="21"/>
          <w:szCs w:val="21"/>
        </w:rPr>
      </w:pPr>
      <w:r>
        <w:rPr>
          <w:rFonts w:hint="eastAsia" w:ascii="宋体" w:hAnsi="宋体" w:eastAsia="宋体" w:cs="宋体"/>
          <w:color w:val="000000"/>
          <w:sz w:val="21"/>
          <w:szCs w:val="21"/>
          <w:highlight w:val="none"/>
        </w:rPr>
        <w:t>结算模式。</w:t>
      </w:r>
      <w:r>
        <w:rPr>
          <w:rFonts w:hint="default" w:ascii="宋体" w:hAnsi="宋体" w:eastAsia="宋体" w:cs="宋体"/>
          <w:color w:val="000000"/>
          <w:sz w:val="21"/>
          <w:szCs w:val="21"/>
          <w:highlight w:val="none"/>
        </w:rPr>
        <w:t>后付</w:t>
      </w:r>
      <w:r>
        <w:rPr>
          <w:rFonts w:hint="eastAsia" w:ascii="宋体" w:hAnsi="宋体" w:eastAsia="宋体" w:cs="宋体"/>
          <w:sz w:val="21"/>
          <w:szCs w:val="21"/>
        </w:rPr>
        <w:t>月结模式，无预付款，结算金额以双方核对为准。</w:t>
      </w:r>
    </w:p>
    <w:p>
      <w:pPr>
        <w:widowControl w:val="0"/>
        <w:numPr>
          <w:ilvl w:val="0"/>
          <w:numId w:val="42"/>
        </w:numPr>
        <w:adjustRightInd w:val="0"/>
        <w:spacing w:line="360" w:lineRule="auto"/>
        <w:ind w:left="-190" w:leftChars="0" w:firstLineChars="0"/>
        <w:jc w:val="both"/>
        <w:textAlignment w:val="baseline"/>
        <w:rPr>
          <w:rFonts w:hint="eastAsia" w:ascii="宋体" w:hAnsi="宋体" w:eastAsia="宋体" w:cs="宋体"/>
          <w:sz w:val="21"/>
          <w:szCs w:val="21"/>
        </w:rPr>
      </w:pPr>
      <w:r>
        <w:rPr>
          <w:rFonts w:hint="eastAsia" w:ascii="宋体" w:hAnsi="宋体" w:eastAsia="宋体" w:cs="宋体"/>
          <w:sz w:val="21"/>
          <w:szCs w:val="21"/>
        </w:rPr>
        <w:t>发票要求。向兑吧开具符合国家及税务规定的合法的、有效的、完整的增值税专用发票。</w:t>
      </w:r>
    </w:p>
    <w:p>
      <w:pPr>
        <w:numPr>
          <w:ilvl w:val="0"/>
          <w:numId w:val="41"/>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协议期内服务要求。</w:t>
      </w:r>
    </w:p>
    <w:p>
      <w:pPr>
        <w:widowControl w:val="0"/>
        <w:numPr>
          <w:ilvl w:val="0"/>
          <w:numId w:val="43"/>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保证服务的质量及服务连续性。如供应商出现不符合兑吧要求、无正当理由拒绝完成兑吧交付的服务工作，兑吧有权要求供应商整改或釆取其他补救措施，由此给兑吧造成损失的，供应商负责承担所有赔偿责任。</w:t>
      </w:r>
    </w:p>
    <w:p>
      <w:pPr>
        <w:widowControl w:val="0"/>
        <w:numPr>
          <w:ilvl w:val="0"/>
          <w:numId w:val="43"/>
        </w:numPr>
        <w:adjustRightInd w:val="0"/>
        <w:spacing w:line="360" w:lineRule="auto"/>
        <w:ind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供应商应严格遵守执业规则和职业道德，在兑吧要求的时间内，保质保量并独立完成服务工作。未经兑吧书面许可，不得以任何形式将工作或任务转委托其他机构。</w:t>
      </w:r>
    </w:p>
    <w:p>
      <w:pPr>
        <w:autoSpaceDE w:val="0"/>
        <w:spacing w:line="360" w:lineRule="auto"/>
        <w:ind w:firstLine="420"/>
        <w:jc w:val="both"/>
        <w:rPr>
          <w:rFonts w:hint="eastAsia" w:ascii="宋体" w:hAnsi="宋体" w:eastAsia="宋体" w:cs="宋体"/>
          <w:sz w:val="21"/>
          <w:szCs w:val="21"/>
        </w:rPr>
      </w:pPr>
    </w:p>
    <w:p>
      <w:pPr>
        <w:autoSpaceDE w:val="0"/>
        <w:spacing w:line="360" w:lineRule="auto"/>
        <w:jc w:val="both"/>
        <w:rPr>
          <w:rFonts w:hint="eastAsia" w:ascii="宋体" w:hAnsi="宋体" w:eastAsia="宋体" w:cs="宋体"/>
          <w:sz w:val="21"/>
          <w:szCs w:val="21"/>
        </w:rPr>
      </w:pPr>
    </w:p>
    <w:p>
      <w:pPr>
        <w:spacing w:line="360" w:lineRule="auto"/>
        <w:jc w:val="both"/>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8"/>
          <w:szCs w:val="28"/>
        </w:rPr>
      </w:pPr>
      <w:r>
        <w:rPr>
          <w:rFonts w:hint="eastAsia" w:ascii="宋体" w:hAnsi="宋体" w:eastAsia="宋体" w:cs="宋体"/>
          <w:b/>
          <w:bCs w:val="0"/>
          <w:color w:val="000000"/>
          <w:kern w:val="2"/>
          <w:sz w:val="28"/>
          <w:szCs w:val="28"/>
          <w:lang w:val="en-US" w:eastAsia="zh-CN" w:bidi="ar"/>
        </w:rPr>
        <w:t>兑吧直播代运营服务项目报价表</w:t>
      </w:r>
    </w:p>
    <w:p>
      <w:pPr>
        <w:pStyle w:val="19"/>
        <w:widowControl/>
        <w:rPr>
          <w:rFonts w:hint="eastAsia" w:ascii="宋体" w:hAnsi="宋体" w:eastAsia="宋体" w:cs="宋体"/>
          <w:kern w:val="0"/>
          <w:sz w:val="28"/>
          <w:szCs w:val="28"/>
        </w:rPr>
      </w:pPr>
      <w:r>
        <w:rPr>
          <w:rFonts w:hint="eastAsia" w:ascii="宋体" w:hAnsi="宋体" w:eastAsia="宋体" w:cs="宋体"/>
          <w:kern w:val="0"/>
          <w:sz w:val="28"/>
          <w:szCs w:val="28"/>
        </w:rPr>
        <w:t xml:space="preserve"> </w:t>
      </w:r>
    </w:p>
    <w:tbl>
      <w:tblPr>
        <w:tblStyle w:val="12"/>
        <w:tblW w:w="10158"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77"/>
        <w:gridCol w:w="1365"/>
        <w:gridCol w:w="3783"/>
        <w:gridCol w:w="1412"/>
        <w:gridCol w:w="2821"/>
      </w:tblGrid>
      <w:tr>
        <w:tblPrEx>
          <w:shd w:val="clear" w:color="auto" w:fill="auto"/>
        </w:tblPrEx>
        <w:trPr>
          <w:trHeight w:val="772" w:hRule="atLeast"/>
        </w:trPr>
        <w:tc>
          <w:tcPr>
            <w:tcW w:w="7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0"/>
                <w:sz w:val="21"/>
                <w:szCs w:val="21"/>
                <w:lang w:val="en-US" w:eastAsia="zh-CN" w:bidi="ar"/>
              </w:rPr>
              <w:t>分类</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0"/>
                <w:sz w:val="21"/>
                <w:szCs w:val="21"/>
                <w:lang w:val="en-US" w:eastAsia="zh-CN" w:bidi="ar"/>
              </w:rPr>
              <w:t>项目</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0"/>
                <w:sz w:val="21"/>
                <w:szCs w:val="21"/>
                <w:lang w:val="en-US" w:eastAsia="zh-CN" w:bidi="ar"/>
              </w:rPr>
              <w:t>服务内容描述</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0"/>
                <w:sz w:val="21"/>
                <w:szCs w:val="21"/>
                <w:lang w:val="en-US" w:eastAsia="zh-CN" w:bidi="ar"/>
              </w:rPr>
              <w:t>单价报价上限（含税）</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单价（含税）</w:t>
            </w:r>
          </w:p>
        </w:tc>
      </w:tr>
      <w:tr>
        <w:trPr>
          <w:trHeight w:val="3103" w:hRule="atLeast"/>
        </w:trPr>
        <w:tc>
          <w:tcPr>
            <w:tcW w:w="777"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 xml:space="preserve"> 代运营服务</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直播运营/PM</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44"/>
              </w:numPr>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每个项目指定1名专职人员负责项目对接与统筹，保障项目正常推进交付；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2.根据直播目标输出直播解决方案：流量方案、选品策略、转化策略等；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3.直播内容输出：包含直播流程、直播脚本、宣发文案</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4.直播现场担任场控角色，直播现场统筹，实时控场，根据直播实时数据，调整直播节奏和流程，制造直播间氛围5·直播后提供并主导复盘，提供甲方所需数据与战报</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b/>
                <w:color w:val="000000"/>
                <w:kern w:val="0"/>
                <w:sz w:val="21"/>
                <w:szCs w:val="21"/>
                <w:lang w:val="en-US" w:eastAsia="zh-CN" w:bidi="ar"/>
              </w:rPr>
              <w:t>3000元</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87"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中控</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1.直播前负责后台配置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2.直播中负责后台直播工具操作、商品上下架、直播间弹幕维护、回答粉丝提问</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Style w:val="21"/>
                <w:rFonts w:hint="eastAsia" w:ascii="宋体" w:hAnsi="宋体" w:eastAsia="宋体" w:cs="宋体"/>
                <w:b/>
                <w:color w:val="000000"/>
                <w:kern w:val="2"/>
                <w:sz w:val="21"/>
                <w:szCs w:val="21"/>
                <w:lang w:val="en-US" w:eastAsia="zh-CN" w:bidi="ar"/>
              </w:rPr>
              <w:t>2000</w:t>
            </w:r>
            <w:r>
              <w:rPr>
                <w:rStyle w:val="17"/>
                <w:rFonts w:hint="eastAsia" w:ascii="宋体" w:hAnsi="宋体" w:eastAsia="宋体" w:cs="宋体"/>
                <w:b/>
                <w:color w:val="000000"/>
                <w:kern w:val="2"/>
                <w:sz w:val="21"/>
                <w:szCs w:val="21"/>
                <w:lang w:val="en-US" w:eastAsia="zh-CN" w:bidi="ar"/>
              </w:rPr>
              <w:t>元</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u w:val="single"/>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564"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摄像兼导播</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1·直播前灯光调试、设备参数和机位调试，直播中特写镜头拍摄，保障直播呈现；外场情况负责设备整体搭建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2.直播现场推流、机位切换、导播台操作、根据直播流程和内容切换直播背景等</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Style w:val="21"/>
                <w:rFonts w:hint="eastAsia" w:ascii="宋体" w:hAnsi="宋体" w:eastAsia="宋体" w:cs="宋体"/>
                <w:b/>
                <w:color w:val="000000"/>
                <w:kern w:val="2"/>
                <w:sz w:val="21"/>
                <w:szCs w:val="21"/>
                <w:lang w:val="en-US" w:eastAsia="zh-CN" w:bidi="ar"/>
              </w:rPr>
              <w:t>3000</w:t>
            </w:r>
            <w:r>
              <w:rPr>
                <w:rStyle w:val="17"/>
                <w:rFonts w:hint="eastAsia" w:ascii="宋体" w:hAnsi="宋体" w:eastAsia="宋体" w:cs="宋体"/>
                <w:b/>
                <w:color w:val="000000"/>
                <w:kern w:val="2"/>
                <w:sz w:val="21"/>
                <w:szCs w:val="21"/>
                <w:lang w:val="en-US" w:eastAsia="zh-CN" w:bidi="ar"/>
              </w:rPr>
              <w:t>元</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u w:val="single"/>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28"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主播</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根据甲方需求，提供专业主播1-2名：直播前对稿、直播彩排及正式直播全程控场，直播时间不等，一般情况3小时</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Fonts w:hint="eastAsia" w:ascii="宋体" w:hAnsi="宋体" w:eastAsia="宋体" w:cs="宋体"/>
                <w:b/>
                <w:color w:val="000000"/>
                <w:kern w:val="0"/>
                <w:sz w:val="21"/>
                <w:szCs w:val="21"/>
                <w:lang w:val="en-US" w:eastAsia="zh-CN" w:bidi="ar"/>
              </w:rPr>
              <w:t>2000元</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u w:val="single"/>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132"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场地</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根据甲方需求，提供专业直播场地，内含全套直播设备</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Fonts w:hint="eastAsia" w:ascii="宋体" w:hAnsi="宋体" w:eastAsia="宋体" w:cs="宋体"/>
                <w:b/>
                <w:color w:val="000000"/>
                <w:kern w:val="0"/>
                <w:sz w:val="21"/>
                <w:szCs w:val="21"/>
                <w:lang w:val="en-US" w:eastAsia="zh-CN" w:bidi="ar"/>
              </w:rPr>
              <w:t>3000元</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u w:val="single"/>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56"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外场支撑</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rPr>
            </w:pPr>
            <w:r>
              <w:rPr>
                <w:rFonts w:hint="eastAsia" w:ascii="宋体" w:hAnsi="宋体" w:eastAsia="宋体" w:cs="宋体"/>
                <w:kern w:val="0"/>
                <w:sz w:val="21"/>
                <w:szCs w:val="21"/>
                <w:lang w:val="en-US" w:eastAsia="zh-CN" w:bidi="ar"/>
              </w:rPr>
              <w:t>满足支撑外场（出省/出市）直播需求，在原有基础运营服务之外，包含外场设备提供与现场搭建，一般情况出差3天以内（1天彩排，1天正式直播）</w:t>
            </w:r>
          </w:p>
        </w:tc>
        <w:tc>
          <w:tcPr>
            <w:tcW w:w="1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Style w:val="20"/>
                <w:rFonts w:hint="eastAsia" w:ascii="宋体" w:hAnsi="宋体" w:eastAsia="宋体" w:cs="宋体"/>
                <w:b/>
                <w:color w:val="000000"/>
                <w:kern w:val="2"/>
                <w:sz w:val="21"/>
                <w:szCs w:val="21"/>
                <w:lang w:val="en-US" w:eastAsia="zh-CN" w:bidi="ar"/>
              </w:rPr>
              <w:t>不设限，供应商自行提报</w:t>
            </w:r>
          </w:p>
        </w:tc>
        <w:tc>
          <w:tcPr>
            <w:tcW w:w="28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u w:val="single"/>
              </w:rPr>
            </w:pPr>
            <w:r>
              <w:rPr>
                <w:rStyle w:val="21"/>
                <w:rFonts w:hint="eastAsia" w:ascii="宋体" w:hAnsi="宋体" w:eastAsia="宋体" w:cs="宋体"/>
                <w:color w:val="000000"/>
                <w:kern w:val="2"/>
                <w:sz w:val="21"/>
                <w:szCs w:val="21"/>
                <w:u w:val="single"/>
                <w:lang w:val="en-US" w:eastAsia="zh-CN" w:bidi="ar"/>
              </w:rPr>
              <w:t xml:space="preserve">    </w:t>
            </w:r>
            <w:r>
              <w:rPr>
                <w:rStyle w:val="17"/>
                <w:rFonts w:hint="eastAsia" w:ascii="宋体" w:hAnsi="宋体" w:eastAsia="宋体" w:cs="宋体"/>
                <w:color w:val="000000"/>
                <w:kern w:val="2"/>
                <w:sz w:val="21"/>
                <w:szCs w:val="21"/>
                <w:lang w:val="en-US" w:eastAsia="zh-CN" w:bidi="ar"/>
              </w:rPr>
              <w:t>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564" w:hRule="atLeast"/>
        </w:trPr>
        <w:tc>
          <w:tcPr>
            <w:tcW w:w="777"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设计</w:t>
            </w:r>
          </w:p>
        </w:tc>
        <w:tc>
          <w:tcPr>
            <w:tcW w:w="3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根据甲方需求提供设计服务：直播宣传物料制作，包含：</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1）主视觉海报*1、</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2）直播页面素材图：小程序分享图*3、直播首页预告图*1、预约页banner*1、营销活动资源位图*3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3）渠道宣发图：公众号图文*1+封面图*1、客户经理邀约指南长图*1、其他渠道延展图3张以内（仅作尺寸直播间场景装修物料，包含：</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1）直播间背景ppt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2）贴片设计*2</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lang w:val="en-US" w:eastAsia="zh-CN" w:bidi="ar"/>
              </w:rPr>
              <w:t>3）营销活动入口icon*2变化）</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2"/>
                <w:sz w:val="21"/>
                <w:szCs w:val="21"/>
              </w:rPr>
            </w:pPr>
            <w:r>
              <w:rPr>
                <w:rStyle w:val="20"/>
                <w:rFonts w:hint="eastAsia" w:ascii="宋体" w:hAnsi="宋体" w:eastAsia="宋体" w:cs="宋体"/>
                <w:b/>
                <w:color w:val="000000"/>
                <w:kern w:val="2"/>
                <w:sz w:val="21"/>
                <w:szCs w:val="21"/>
                <w:lang w:val="en-US" w:eastAsia="zh-CN" w:bidi="ar"/>
              </w:rPr>
              <w:t>不设限，供应商自行提报</w:t>
            </w:r>
          </w:p>
        </w:tc>
        <w:tc>
          <w:tcPr>
            <w:tcW w:w="28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u w:val="single"/>
              </w:rPr>
            </w:pPr>
            <w:r>
              <w:rPr>
                <w:rStyle w:val="20"/>
                <w:rFonts w:hint="eastAsia" w:ascii="宋体" w:hAnsi="宋体" w:eastAsia="宋体" w:cs="宋体"/>
                <w:color w:val="000000"/>
                <w:kern w:val="2"/>
                <w:sz w:val="21"/>
                <w:szCs w:val="21"/>
                <w:u w:val="single"/>
                <w:lang w:val="en-US" w:eastAsia="zh-CN" w:bidi="ar"/>
              </w:rPr>
              <w:t xml:space="preserve">     </w:t>
            </w:r>
            <w:r>
              <w:rPr>
                <w:rStyle w:val="18"/>
                <w:rFonts w:hint="eastAsia" w:ascii="宋体" w:hAnsi="宋体" w:eastAsia="宋体" w:cs="宋体"/>
                <w:color w:val="000000"/>
                <w:kern w:val="2"/>
                <w:sz w:val="21"/>
                <w:szCs w:val="21"/>
                <w:lang w:val="en-US" w:eastAsia="zh-CN" w:bidi="ar"/>
              </w:rPr>
              <w:t>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38" w:hRule="atLeast"/>
        </w:trPr>
        <w:tc>
          <w:tcPr>
            <w:tcW w:w="7337"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color w:val="000000"/>
                <w:kern w:val="0"/>
                <w:sz w:val="21"/>
                <w:szCs w:val="21"/>
                <w:lang w:val="en-US" w:eastAsia="zh-CN" w:bidi="ar"/>
              </w:rPr>
              <w:t>总计</w:t>
            </w:r>
          </w:p>
        </w:tc>
        <w:tc>
          <w:tcPr>
            <w:tcW w:w="28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u w:val="single"/>
              </w:rPr>
            </w:pPr>
            <w:r>
              <w:rPr>
                <w:rStyle w:val="20"/>
                <w:rFonts w:hint="eastAsia" w:ascii="宋体" w:hAnsi="宋体" w:eastAsia="宋体" w:cs="宋体"/>
                <w:color w:val="000000"/>
                <w:kern w:val="2"/>
                <w:sz w:val="21"/>
                <w:szCs w:val="21"/>
                <w:u w:val="single"/>
                <w:lang w:val="en-US" w:eastAsia="zh-CN" w:bidi="ar"/>
              </w:rPr>
              <w:t xml:space="preserve">     </w:t>
            </w:r>
            <w:r>
              <w:rPr>
                <w:rStyle w:val="18"/>
                <w:rFonts w:hint="eastAsia" w:ascii="宋体" w:hAnsi="宋体" w:eastAsia="宋体" w:cs="宋体"/>
                <w:color w:val="000000"/>
                <w:kern w:val="2"/>
                <w:sz w:val="21"/>
                <w:szCs w:val="21"/>
                <w:lang w:val="en-US" w:eastAsia="zh-CN" w:bidi="ar"/>
              </w:rPr>
              <w:t>元/场</w:t>
            </w:r>
          </w:p>
        </w:tc>
      </w:tr>
    </w:tbl>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color w:val="000000"/>
          <w:kern w:val="2"/>
          <w:sz w:val="21"/>
          <w:szCs w:val="21"/>
        </w:rPr>
      </w:pPr>
      <w:r>
        <w:rPr>
          <w:rFonts w:hint="eastAsia" w:ascii="宋体" w:hAnsi="宋体" w:eastAsia="宋体" w:cs="宋体"/>
          <w:b/>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color w:val="000000"/>
          <w:kern w:val="2"/>
          <w:sz w:val="21"/>
          <w:szCs w:val="21"/>
        </w:rPr>
      </w:pPr>
      <w:r>
        <w:rPr>
          <w:rFonts w:hint="eastAsia" w:ascii="宋体" w:hAnsi="宋体" w:eastAsia="宋体" w:cs="宋体"/>
          <w:b/>
          <w:color w:val="000000"/>
          <w:kern w:val="2"/>
          <w:sz w:val="21"/>
          <w:szCs w:val="21"/>
          <w:lang w:val="en-US" w:eastAsia="zh-CN" w:bidi="ar"/>
        </w:rPr>
        <w:t>服务商承诺：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 w:val="0"/>
          <w:color w:val="000000"/>
          <w:kern w:val="2"/>
          <w:sz w:val="21"/>
          <w:szCs w:val="21"/>
        </w:rPr>
      </w:pPr>
      <w:r>
        <w:rPr>
          <w:rFonts w:hint="eastAsia" w:ascii="宋体" w:hAnsi="宋体" w:eastAsia="宋体" w:cs="宋体"/>
          <w:b w:val="0"/>
          <w:color w:val="000000"/>
          <w:kern w:val="2"/>
          <w:sz w:val="21"/>
          <w:szCs w:val="21"/>
          <w:lang w:val="en-US" w:eastAsia="zh-CN" w:bidi="ar"/>
        </w:rPr>
        <w:t>1、我司承诺以上报价为全包价，包括但不限人工费、外场交通费、食宿费、增值税专用发票税费</w:t>
      </w:r>
      <w:r>
        <w:rPr>
          <w:rFonts w:hint="eastAsia" w:ascii="宋体" w:hAnsi="宋体" w:eastAsia="宋体" w:cs="宋体"/>
          <w:b/>
          <w:color w:val="FF0000"/>
          <w:kern w:val="2"/>
          <w:sz w:val="21"/>
          <w:szCs w:val="21"/>
          <w:lang w:val="en-US" w:eastAsia="zh-CN" w:bidi="ar"/>
        </w:rPr>
        <w:t>（税率：</w:t>
      </w:r>
      <w:r>
        <w:rPr>
          <w:rFonts w:hint="eastAsia" w:ascii="宋体" w:hAnsi="宋体" w:eastAsia="宋体" w:cs="宋体"/>
          <w:b/>
          <w:color w:val="FF0000"/>
          <w:kern w:val="2"/>
          <w:sz w:val="21"/>
          <w:szCs w:val="21"/>
          <w:u w:val="single"/>
          <w:lang w:val="en-US" w:eastAsia="zh-CN" w:bidi="ar"/>
        </w:rPr>
        <w:t xml:space="preserve">  </w:t>
      </w:r>
      <w:r>
        <w:rPr>
          <w:rFonts w:hint="eastAsia" w:ascii="宋体" w:hAnsi="宋体" w:eastAsia="宋体" w:cs="宋体"/>
          <w:b/>
          <w:color w:val="FF0000"/>
          <w:kern w:val="2"/>
          <w:sz w:val="21"/>
          <w:szCs w:val="21"/>
          <w:lang w:val="en-US" w:eastAsia="zh-CN" w:bidi="ar"/>
        </w:rPr>
        <w:t>%)</w:t>
      </w:r>
      <w:r>
        <w:rPr>
          <w:rFonts w:hint="eastAsia" w:ascii="宋体" w:hAnsi="宋体" w:eastAsia="宋体" w:cs="宋体"/>
          <w:b w:val="0"/>
          <w:color w:val="000000"/>
          <w:kern w:val="2"/>
          <w:sz w:val="21"/>
          <w:szCs w:val="21"/>
          <w:lang w:val="en-US" w:eastAsia="zh-CN" w:bidi="ar"/>
        </w:rPr>
        <w:t>等，我司不再向贵行收取其他任何费用；如因国家税收政策调整导致费率发生变动，我司承诺按照相关规定调整价格。</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 w:val="0"/>
          <w:color w:val="000000"/>
          <w:kern w:val="2"/>
          <w:sz w:val="21"/>
          <w:szCs w:val="21"/>
        </w:rPr>
      </w:pPr>
      <w:r>
        <w:rPr>
          <w:rFonts w:hint="eastAsia" w:ascii="宋体" w:hAnsi="宋体" w:eastAsia="宋体" w:cs="宋体"/>
          <w:b w:val="0"/>
          <w:color w:val="000000"/>
          <w:kern w:val="2"/>
          <w:sz w:val="21"/>
          <w:szCs w:val="21"/>
          <w:lang w:val="en-US" w:eastAsia="zh-CN" w:bidi="ar"/>
        </w:rPr>
        <w:t>2、我司已知晓本项目须</w:t>
      </w:r>
      <w:r>
        <w:rPr>
          <w:rFonts w:hint="eastAsia" w:ascii="宋体" w:hAnsi="宋体" w:eastAsia="宋体" w:cs="宋体"/>
          <w:b w:val="0"/>
          <w:color w:val="FF0000"/>
          <w:kern w:val="2"/>
          <w:sz w:val="21"/>
          <w:szCs w:val="21"/>
          <w:lang w:val="en-US" w:eastAsia="zh-CN" w:bidi="ar"/>
        </w:rPr>
        <w:t>入围3家供应商</w:t>
      </w:r>
      <w:r>
        <w:rPr>
          <w:rFonts w:hint="eastAsia" w:ascii="宋体" w:hAnsi="宋体" w:eastAsia="宋体" w:cs="宋体"/>
          <w:b w:val="0"/>
          <w:color w:val="000000"/>
          <w:kern w:val="2"/>
          <w:sz w:val="21"/>
          <w:szCs w:val="21"/>
          <w:lang w:val="en-US" w:eastAsia="zh-CN" w:bidi="ar"/>
        </w:rPr>
        <w:t>。我司承诺遵循市场成本进行报价，不恶意报低价，我司报价可作为最终签约价格，并无条件接受贵行委单。</w:t>
      </w:r>
    </w:p>
    <w:p>
      <w:pPr>
        <w:pStyle w:val="19"/>
        <w:widowControl/>
        <w:rPr>
          <w:rFonts w:hint="eastAsia" w:ascii="宋体" w:hAnsi="宋体" w:eastAsia="宋体" w:cs="宋体"/>
          <w:b w:val="0"/>
          <w:color w:val="000000"/>
          <w:kern w:val="0"/>
          <w:sz w:val="21"/>
          <w:szCs w:val="21"/>
        </w:rPr>
      </w:pPr>
      <w:r>
        <w:rPr>
          <w:rFonts w:hint="eastAsia" w:ascii="宋体" w:hAnsi="宋体" w:eastAsia="宋体" w:cs="宋体"/>
          <w:b w:val="0"/>
          <w:color w:val="000000"/>
          <w:kern w:val="0"/>
          <w:sz w:val="21"/>
          <w:szCs w:val="21"/>
        </w:rPr>
        <w:t xml:space="preserve"> </w:t>
      </w:r>
    </w:p>
    <w:p>
      <w:pPr>
        <w:pStyle w:val="19"/>
        <w:keepNext w:val="0"/>
        <w:keepLines w:val="0"/>
        <w:widowControl w:val="0"/>
        <w:suppressLineNumbers w:val="0"/>
        <w:autoSpaceDE w:val="0"/>
        <w:autoSpaceDN/>
        <w:adjustRightInd w:val="0"/>
        <w:ind w:left="0" w:firstLine="3570" w:firstLineChars="1700"/>
        <w:textAlignment w:val="baseline"/>
        <w:rPr>
          <w:rFonts w:hint="eastAsia" w:ascii="宋体" w:hAnsi="宋体" w:eastAsia="宋体" w:cs="宋体"/>
          <w:b w:val="0"/>
          <w:color w:val="000000"/>
          <w:kern w:val="0"/>
          <w:sz w:val="21"/>
          <w:szCs w:val="21"/>
          <w:vertAlign w:val="baseline"/>
        </w:rPr>
      </w:pPr>
      <w:r>
        <w:rPr>
          <w:rFonts w:hint="eastAsia" w:ascii="宋体" w:hAnsi="宋体" w:eastAsia="宋体" w:cs="宋体"/>
          <w:b w:val="0"/>
          <w:color w:val="000000"/>
          <w:kern w:val="0"/>
          <w:sz w:val="21"/>
          <w:szCs w:val="21"/>
          <w:vertAlign w:val="baseline"/>
        </w:rPr>
        <w:t>被授权人签字：</w:t>
      </w:r>
    </w:p>
    <w:p>
      <w:pPr>
        <w:pStyle w:val="19"/>
        <w:keepNext w:val="0"/>
        <w:keepLines w:val="0"/>
        <w:widowControl w:val="0"/>
        <w:suppressLineNumbers w:val="0"/>
        <w:autoSpaceDE w:val="0"/>
        <w:autoSpaceDN/>
        <w:adjustRightInd w:val="0"/>
        <w:ind w:left="0" w:firstLine="3990" w:firstLineChars="1900"/>
        <w:textAlignment w:val="baseline"/>
        <w:rPr>
          <w:rFonts w:hint="eastAsia" w:ascii="宋体" w:hAnsi="宋体" w:eastAsia="宋体" w:cs="宋体"/>
          <w:b w:val="0"/>
          <w:color w:val="000000"/>
          <w:kern w:val="0"/>
          <w:sz w:val="21"/>
          <w:szCs w:val="21"/>
          <w:vertAlign w:val="baseline"/>
        </w:rPr>
      </w:pPr>
      <w:r>
        <w:rPr>
          <w:rFonts w:hint="eastAsia" w:ascii="宋体" w:hAnsi="宋体" w:eastAsia="宋体" w:cs="宋体"/>
          <w:b w:val="0"/>
          <w:color w:val="000000"/>
          <w:kern w:val="0"/>
          <w:sz w:val="21"/>
          <w:szCs w:val="21"/>
          <w:u w:val="single"/>
          <w:vertAlign w:val="baseline"/>
        </w:rPr>
        <w:t xml:space="preserve">                </w:t>
      </w:r>
      <w:r>
        <w:rPr>
          <w:rFonts w:hint="eastAsia" w:ascii="宋体" w:hAnsi="宋体" w:eastAsia="宋体" w:cs="宋体"/>
          <w:b w:val="0"/>
          <w:color w:val="000000"/>
          <w:kern w:val="0"/>
          <w:sz w:val="21"/>
          <w:szCs w:val="21"/>
          <w:vertAlign w:val="baseline"/>
        </w:rPr>
        <w:t>公司</w:t>
      </w:r>
    </w:p>
    <w:p>
      <w:pPr>
        <w:pStyle w:val="19"/>
        <w:keepNext w:val="0"/>
        <w:keepLines w:val="0"/>
        <w:widowControl w:val="0"/>
        <w:suppressLineNumbers w:val="0"/>
        <w:autoSpaceDE w:val="0"/>
        <w:autoSpaceDN/>
        <w:adjustRightInd w:val="0"/>
        <w:ind w:left="0" w:firstLine="4200" w:firstLineChars="2000"/>
        <w:textAlignment w:val="baseline"/>
        <w:rPr>
          <w:rFonts w:hint="eastAsia" w:ascii="宋体" w:hAnsi="宋体" w:eastAsia="宋体" w:cs="宋体"/>
          <w:b w:val="0"/>
          <w:color w:val="000000"/>
          <w:kern w:val="0"/>
          <w:sz w:val="21"/>
          <w:szCs w:val="21"/>
          <w:vertAlign w:val="baseline"/>
        </w:rPr>
      </w:pPr>
      <w:r>
        <w:rPr>
          <w:rFonts w:hint="eastAsia" w:ascii="宋体" w:hAnsi="宋体" w:eastAsia="宋体" w:cs="宋体"/>
          <w:b w:val="0"/>
          <w:color w:val="000000"/>
          <w:kern w:val="0"/>
          <w:sz w:val="21"/>
          <w:szCs w:val="21"/>
          <w:vertAlign w:val="baseline"/>
        </w:rPr>
        <w:t>2022年12月28日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pStyle w:val="8"/>
        <w:spacing w:before="120" w:line="360" w:lineRule="auto"/>
        <w:rPr>
          <w:rFonts w:hint="eastAsia" w:ascii="宋体" w:hAnsi="宋体" w:eastAsia="宋体" w:cs="宋体"/>
          <w:sz w:val="21"/>
          <w:szCs w:val="21"/>
        </w:rPr>
      </w:pPr>
      <w:r>
        <w:rPr>
          <w:rFonts w:hint="eastAsia" w:ascii="宋体" w:hAnsi="宋体" w:eastAsia="宋体" w:cs="宋体"/>
          <w:sz w:val="21"/>
          <w:szCs w:val="21"/>
        </w:rPr>
        <w:t>投标人名称（公章）：</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日期：</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rPr>
          <w:rFonts w:hint="eastAsia" w:ascii="宋体" w:hAnsi="宋体" w:eastAsia="宋体" w:cs="宋体"/>
          <w:b/>
          <w:bCs/>
          <w:color w:val="000000"/>
          <w:sz w:val="21"/>
          <w:szCs w:val="21"/>
          <w:lang w:eastAsia="zh-Hans"/>
        </w:rPr>
      </w:pPr>
    </w:p>
    <w:p>
      <w:pPr>
        <w:pStyle w:val="2"/>
        <w:rPr>
          <w:rFonts w:hint="eastAsia" w:ascii="宋体" w:hAnsi="宋体" w:eastAsia="宋体" w:cs="宋体"/>
          <w:b/>
          <w:bCs/>
          <w:color w:val="000000"/>
          <w:sz w:val="21"/>
          <w:szCs w:val="21"/>
          <w:lang w:eastAsia="zh-Hans"/>
        </w:rPr>
      </w:pPr>
    </w:p>
    <w:p>
      <w:pPr>
        <w:pStyle w:val="3"/>
        <w:numPr>
          <w:ilvl w:val="0"/>
          <w:numId w:val="45"/>
        </w:numPr>
        <w:spacing w:before="340" w:after="330" w:line="576" w:lineRule="auto"/>
        <w:ind w:left="432"/>
        <w:jc w:val="both"/>
        <w:rPr>
          <w:rFonts w:hint="eastAsia" w:ascii="宋体" w:hAnsi="宋体" w:eastAsia="宋体" w:cs="宋体"/>
          <w:kern w:val="0"/>
          <w:sz w:val="28"/>
          <w:szCs w:val="28"/>
          <w:lang w:eastAsia="zh-Hans"/>
        </w:rPr>
      </w:pPr>
      <w:bookmarkStart w:id="0" w:name="_Toc26576"/>
      <w:bookmarkStart w:id="1" w:name="_Toc30333946"/>
      <w:bookmarkStart w:id="2" w:name="_Toc20134"/>
      <w:r>
        <w:rPr>
          <w:rFonts w:hint="eastAsia" w:ascii="宋体" w:hAnsi="宋体" w:eastAsia="宋体" w:cs="宋体"/>
          <w:kern w:val="0"/>
          <w:sz w:val="28"/>
          <w:szCs w:val="28"/>
          <w:lang w:eastAsia="zh-Hans"/>
        </w:rPr>
        <w:t>商务响应文件</w:t>
      </w:r>
      <w:bookmarkEnd w:id="0"/>
      <w:bookmarkEnd w:id="1"/>
      <w:bookmarkEnd w:id="2"/>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3" w:name="_Toc30333947"/>
      <w:bookmarkStart w:id="4" w:name="_Toc18754"/>
      <w:bookmarkStart w:id="5" w:name="_Toc5315"/>
      <w:r>
        <w:rPr>
          <w:rFonts w:hint="eastAsia" w:ascii="宋体" w:hAnsi="宋体" w:eastAsia="宋体" w:cs="宋体"/>
          <w:sz w:val="22"/>
          <w:szCs w:val="22"/>
        </w:rPr>
        <w:t>企业法人营业执照副本</w:t>
      </w:r>
      <w:bookmarkEnd w:id="3"/>
      <w:bookmarkEnd w:id="4"/>
      <w:bookmarkEnd w:id="5"/>
    </w:p>
    <w:p>
      <w:pPr>
        <w:spacing w:after="312" w:afterLines="100"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企业法人营业执照副本</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21"/>
          <w:szCs w:val="21"/>
        </w:rPr>
      </w:pPr>
      <w:bookmarkStart w:id="6" w:name="_Hlk33717720"/>
      <w:r>
        <w:rPr>
          <w:rFonts w:hint="eastAsia" w:ascii="宋体" w:hAnsi="宋体" w:eastAsia="宋体" w:cs="宋体"/>
          <w:b/>
          <w:bCs/>
          <w:sz w:val="21"/>
          <w:szCs w:val="21"/>
        </w:rPr>
        <w:t>注：</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1.投标人将企业法人营业执照副本（或具有同等法律效力的证照，按照招标文件要求）复印件附在此处，并加盖公章。复印件应能清晰显示投标人名称。</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2.如投标人为代理商，则须同时提供符合要求的代理商及原厂商符合上述要求的证明文件。</w:t>
      </w:r>
      <w:bookmarkEnd w:id="6"/>
    </w:p>
    <w:p>
      <w:pPr>
        <w:spacing w:beforeAutospacing="1" w:line="360" w:lineRule="auto"/>
        <w:rPr>
          <w:rFonts w:hint="eastAsia" w:ascii="宋体" w:hAnsi="宋体" w:eastAsia="宋体" w:cs="宋体"/>
          <w:b/>
          <w:bCs/>
          <w:sz w:val="21"/>
          <w:szCs w:val="21"/>
        </w:rPr>
        <w:sectPr>
          <w:pgSz w:w="11906" w:h="16838"/>
          <w:pgMar w:top="1440" w:right="1800" w:bottom="1440" w:left="1800" w:header="851" w:footer="992" w:gutter="0"/>
          <w:cols w:space="720" w:num="1"/>
          <w:docGrid w:type="lines" w:linePitch="312" w:charSpace="0"/>
        </w:sect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7" w:name="_Toc8819"/>
      <w:bookmarkStart w:id="8" w:name="_Toc30333949"/>
      <w:bookmarkStart w:id="9" w:name="_Toc31962"/>
      <w:r>
        <w:rPr>
          <w:rFonts w:hint="eastAsia" w:ascii="宋体" w:hAnsi="宋体" w:eastAsia="宋体" w:cs="宋体"/>
          <w:sz w:val="22"/>
          <w:szCs w:val="22"/>
        </w:rPr>
        <w:t>法定代表人授权书</w:t>
      </w:r>
      <w:bookmarkEnd w:id="7"/>
      <w:bookmarkEnd w:id="8"/>
      <w:bookmarkEnd w:id="9"/>
    </w:p>
    <w:p>
      <w:pPr>
        <w:spacing w:after="290" w:afterLines="100" w:line="360" w:lineRule="auto"/>
        <w:jc w:val="center"/>
        <w:rPr>
          <w:rFonts w:hint="eastAsia" w:ascii="宋体" w:hAnsi="宋体" w:eastAsia="宋体" w:cs="宋体"/>
          <w:b/>
          <w:bCs/>
          <w:sz w:val="21"/>
          <w:szCs w:val="21"/>
        </w:rPr>
      </w:pPr>
    </w:p>
    <w:p>
      <w:pPr>
        <w:spacing w:after="290" w:afterLines="100"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法定代表人授权书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本授权书声明：注册于</w:t>
      </w:r>
      <w:r>
        <w:rPr>
          <w:rFonts w:hint="eastAsia" w:ascii="宋体" w:hAnsi="宋体" w:eastAsia="宋体" w:cs="宋体"/>
          <w:sz w:val="21"/>
          <w:szCs w:val="21"/>
          <w:u w:val="single"/>
        </w:rPr>
        <w:t>（国家或地区的名称）</w:t>
      </w:r>
      <w:r>
        <w:rPr>
          <w:rFonts w:hint="eastAsia" w:ascii="宋体" w:hAnsi="宋体" w:eastAsia="宋体" w:cs="宋体"/>
          <w:sz w:val="21"/>
          <w:szCs w:val="21"/>
        </w:rPr>
        <w:t>的</w:t>
      </w:r>
      <w:r>
        <w:rPr>
          <w:rFonts w:hint="eastAsia" w:ascii="宋体" w:hAnsi="宋体" w:eastAsia="宋体" w:cs="宋体"/>
          <w:sz w:val="21"/>
          <w:szCs w:val="21"/>
          <w:u w:val="single"/>
        </w:rPr>
        <w:t xml:space="preserve">         （公司名称）      </w:t>
      </w:r>
      <w:r>
        <w:rPr>
          <w:rFonts w:hint="eastAsia" w:ascii="宋体" w:hAnsi="宋体" w:eastAsia="宋体" w:cs="宋体"/>
          <w:sz w:val="21"/>
          <w:szCs w:val="21"/>
        </w:rPr>
        <w:t>的在下面签字或签章的</w:t>
      </w:r>
      <w:r>
        <w:rPr>
          <w:rFonts w:hint="eastAsia" w:ascii="宋体" w:hAnsi="宋体" w:eastAsia="宋体" w:cs="宋体"/>
          <w:sz w:val="21"/>
          <w:szCs w:val="21"/>
          <w:u w:val="single"/>
        </w:rPr>
        <w:t xml:space="preserve">   （法定代表人姓名、职务）   </w:t>
      </w:r>
      <w:r>
        <w:rPr>
          <w:rFonts w:hint="eastAsia" w:ascii="宋体" w:hAnsi="宋体" w:eastAsia="宋体" w:cs="宋体"/>
          <w:sz w:val="21"/>
          <w:szCs w:val="21"/>
        </w:rPr>
        <w:t xml:space="preserve">代表本公司授权 </w:t>
      </w:r>
      <w:r>
        <w:rPr>
          <w:rFonts w:hint="eastAsia" w:ascii="宋体" w:hAnsi="宋体" w:eastAsia="宋体" w:cs="宋体"/>
          <w:sz w:val="21"/>
          <w:szCs w:val="21"/>
          <w:u w:val="single"/>
        </w:rPr>
        <w:t xml:space="preserve">        （单位名称）      </w:t>
      </w:r>
      <w:r>
        <w:rPr>
          <w:rFonts w:hint="eastAsia" w:ascii="宋体" w:hAnsi="宋体" w:eastAsia="宋体" w:cs="宋体"/>
          <w:sz w:val="21"/>
          <w:szCs w:val="21"/>
        </w:rPr>
        <w:t>的在下面签字的</w:t>
      </w:r>
      <w:r>
        <w:rPr>
          <w:rFonts w:hint="eastAsia" w:ascii="宋体" w:hAnsi="宋体" w:eastAsia="宋体" w:cs="宋体"/>
          <w:sz w:val="21"/>
          <w:szCs w:val="21"/>
          <w:u w:val="single"/>
        </w:rPr>
        <w:t>（授权代理人的姓名、职务）（身份证号码：             ）</w:t>
      </w:r>
      <w:r>
        <w:rPr>
          <w:rFonts w:hint="eastAsia" w:ascii="宋体" w:hAnsi="宋体" w:eastAsia="宋体" w:cs="宋体"/>
          <w:sz w:val="21"/>
          <w:szCs w:val="21"/>
        </w:rPr>
        <w:t>为本公司的合法代理人，就</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，以本公司名义处理一切与之相关的事务，其后果由我公司承担。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本授权书于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日签字生效， 特此声明。</w:t>
      </w: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投标人名称（公章）：       </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 xml:space="preserve">法定代表人（签字或签章）： </w:t>
      </w:r>
      <w:r>
        <w:rPr>
          <w:rFonts w:hint="eastAsia" w:ascii="宋体" w:hAnsi="宋体" w:eastAsia="宋体" w:cs="宋体"/>
          <w:sz w:val="21"/>
          <w:szCs w:val="21"/>
          <w:u w:val="single"/>
        </w:rPr>
        <w:t xml:space="preserve">                     </w:t>
      </w:r>
    </w:p>
    <w:p>
      <w:pPr>
        <w:pStyle w:val="10"/>
        <w:spacing w:line="360" w:lineRule="auto"/>
        <w:rPr>
          <w:rFonts w:hint="eastAsia" w:ascii="宋体" w:hAnsi="宋体" w:eastAsia="宋体" w:cs="宋体"/>
          <w:sz w:val="21"/>
          <w:szCs w:val="21"/>
        </w:rPr>
      </w:pPr>
      <w:r>
        <w:rPr>
          <w:rFonts w:hint="eastAsia" w:ascii="宋体" w:hAnsi="宋体" w:eastAsia="宋体" w:cs="宋体"/>
          <w:sz w:val="21"/>
          <w:szCs w:val="21"/>
        </w:rPr>
        <w:t xml:space="preserve">身份证号码：              </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 xml:space="preserve">授权代理人（签字）：       </w:t>
      </w:r>
      <w:r>
        <w:rPr>
          <w:rFonts w:hint="eastAsia" w:ascii="宋体" w:hAnsi="宋体" w:eastAsia="宋体" w:cs="宋体"/>
          <w:sz w:val="21"/>
          <w:szCs w:val="21"/>
          <w:u w:val="single"/>
        </w:rPr>
        <w:t xml:space="preserve">                     </w:t>
      </w:r>
    </w:p>
    <w:p>
      <w:pPr>
        <w:pStyle w:val="10"/>
        <w:spacing w:line="360" w:lineRule="auto"/>
        <w:rPr>
          <w:rFonts w:hint="eastAsia" w:ascii="宋体" w:hAnsi="宋体" w:eastAsia="宋体" w:cs="宋体"/>
          <w:sz w:val="21"/>
          <w:szCs w:val="21"/>
        </w:rPr>
      </w:pPr>
      <w:r>
        <w:rPr>
          <w:rFonts w:hint="eastAsia" w:ascii="宋体" w:hAnsi="宋体" w:eastAsia="宋体" w:cs="宋体"/>
          <w:sz w:val="21"/>
          <w:szCs w:val="21"/>
        </w:rPr>
        <w:t xml:space="preserve">身份证号码：             </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pStyle w:val="10"/>
        <w:rPr>
          <w:rFonts w:hint="eastAsia" w:ascii="宋体" w:hAnsi="宋体" w:eastAsia="宋体" w:cs="宋体"/>
          <w:sz w:val="21"/>
          <w:szCs w:val="21"/>
        </w:rPr>
      </w:pPr>
      <w:r>
        <w:rPr>
          <w:rFonts w:hint="eastAsia" w:ascii="宋体" w:hAnsi="宋体" w:eastAsia="宋体" w:cs="宋体"/>
          <w:sz w:val="21"/>
          <w:szCs w:val="21"/>
        </w:rPr>
        <w:t>附：</w:t>
      </w:r>
    </w:p>
    <w:p>
      <w:pPr>
        <w:pStyle w:val="10"/>
        <w:rPr>
          <w:rFonts w:hint="eastAsia" w:ascii="宋体" w:hAnsi="宋体" w:eastAsia="宋体" w:cs="宋体"/>
          <w:sz w:val="21"/>
          <w:szCs w:val="21"/>
        </w:rPr>
      </w:pPr>
      <w:r>
        <w:rPr>
          <w:rFonts w:hint="eastAsia" w:ascii="宋体" w:hAnsi="宋体" w:eastAsia="宋体" w:cs="宋体"/>
          <w:sz w:val="21"/>
          <w:szCs w:val="21"/>
        </w:rPr>
        <w:t>法定代表人身份证复印件（正反面）</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r>
        <w:rPr>
          <w:rFonts w:hint="eastAsia" w:ascii="宋体" w:hAnsi="宋体" w:eastAsia="宋体" w:cs="宋体"/>
          <w:sz w:val="21"/>
          <w:szCs w:val="21"/>
        </w:rPr>
        <w:t>授权代理人身份证复印件（正反面）</w:t>
      </w:r>
    </w:p>
    <w:p>
      <w:pPr>
        <w:pStyle w:val="10"/>
        <w:rPr>
          <w:rFonts w:hint="eastAsia" w:ascii="宋体" w:hAnsi="宋体" w:eastAsia="宋体" w:cs="宋体"/>
          <w:sz w:val="21"/>
          <w:szCs w:val="21"/>
        </w:rPr>
      </w:pPr>
    </w:p>
    <w:p>
      <w:pPr>
        <w:pStyle w:val="2"/>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rPr>
          <w:rFonts w:hint="eastAsia" w:ascii="宋体" w:hAnsi="宋体" w:eastAsia="宋体" w:cs="宋体"/>
          <w:b/>
          <w:bCs/>
          <w:color w:val="000000"/>
          <w:sz w:val="21"/>
          <w:szCs w:val="21"/>
          <w:lang w:eastAsia="zh-Hans"/>
        </w:r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10" w:name="_Toc16436"/>
      <w:bookmarkStart w:id="11" w:name="_Toc31497"/>
      <w:bookmarkStart w:id="12" w:name="_Toc30333951"/>
      <w:r>
        <w:rPr>
          <w:rFonts w:hint="eastAsia" w:ascii="宋体" w:hAnsi="宋体" w:eastAsia="宋体" w:cs="宋体"/>
          <w:sz w:val="22"/>
          <w:szCs w:val="22"/>
        </w:rPr>
        <w:t>廉洁承诺书</w:t>
      </w:r>
      <w:bookmarkEnd w:id="10"/>
      <w:bookmarkEnd w:id="11"/>
      <w:bookmarkEnd w:id="12"/>
    </w:p>
    <w:p>
      <w:pPr>
        <w:spacing w:after="290" w:afterLines="100"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廉洁承诺书</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Hans"/>
        </w:rPr>
        <w:t>杭州兑吧网络科技有限公司</w:t>
      </w:r>
      <w:r>
        <w:rPr>
          <w:rFonts w:hint="eastAsia" w:ascii="宋体" w:hAnsi="宋体" w:eastAsia="宋体" w:cs="宋体"/>
          <w:b/>
          <w:bCs/>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本公司（单位）参与贵</w:t>
      </w:r>
      <w:r>
        <w:rPr>
          <w:rFonts w:hint="eastAsia" w:ascii="宋体" w:hAnsi="宋体" w:eastAsia="宋体" w:cs="宋体"/>
          <w:sz w:val="21"/>
          <w:szCs w:val="21"/>
          <w:lang w:val="en-US" w:eastAsia="zh-Hans"/>
        </w:rPr>
        <w:t>公司</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投标，严格遵守国家法律法规及行业自律规定，坚持公平、公开、公正、诚实信用的原则，决不做损害双方和第三方的合法利益的行为，特承诺如下：</w:t>
      </w:r>
    </w:p>
    <w:p>
      <w:pPr>
        <w:numPr>
          <w:ilvl w:val="0"/>
          <w:numId w:val="4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客观真实反映自身情况，按要求编写投标文件并保证投标文件及材料真实完整、合法有效,自觉接受投标人（供应商）资质审查；遵守采购评标纪律，不干预、影响评标过程和结果；按规定时间和程序与招标人签订采购合同，并严格履行采购合同。</w:t>
      </w:r>
    </w:p>
    <w:p>
      <w:pPr>
        <w:numPr>
          <w:ilvl w:val="0"/>
          <w:numId w:val="46"/>
        </w:numPr>
        <w:spacing w:line="360" w:lineRule="auto"/>
        <w:ind w:firstLine="420" w:firstLineChars="200"/>
        <w:jc w:val="both"/>
        <w:rPr>
          <w:rFonts w:hint="eastAsia" w:ascii="宋体" w:hAnsi="宋体" w:eastAsia="宋体" w:cs="宋体"/>
          <w:b/>
          <w:bCs/>
          <w:sz w:val="21"/>
          <w:szCs w:val="21"/>
        </w:rPr>
      </w:pPr>
      <w:r>
        <w:rPr>
          <w:rFonts w:hint="eastAsia" w:ascii="宋体" w:hAnsi="宋体" w:eastAsia="宋体" w:cs="宋体"/>
          <w:b/>
          <w:bCs/>
          <w:sz w:val="21"/>
          <w:szCs w:val="21"/>
        </w:rPr>
        <w:t>截至投标截止日，本公司未被“信用中国”网站（http://www.creditchina.gov.cn）列入失信被执行人、重大税收违法案件当事人名单、政府采购严重违法失信行为记录名单。</w:t>
      </w:r>
    </w:p>
    <w:p>
      <w:pPr>
        <w:numPr>
          <w:ilvl w:val="0"/>
          <w:numId w:val="46"/>
        </w:numPr>
        <w:spacing w:line="360" w:lineRule="auto"/>
        <w:ind w:firstLine="420" w:firstLineChars="200"/>
        <w:rPr>
          <w:rFonts w:hint="eastAsia" w:ascii="宋体" w:hAnsi="宋体" w:eastAsia="宋体" w:cs="宋体"/>
          <w:b/>
          <w:bCs/>
          <w:sz w:val="21"/>
          <w:szCs w:val="21"/>
        </w:rPr>
      </w:pPr>
      <w:r>
        <w:rPr>
          <w:rFonts w:hint="eastAsia" w:ascii="宋体" w:hAnsi="宋体" w:eastAsia="宋体" w:cs="宋体"/>
          <w:b/>
          <w:bCs/>
          <w:sz w:val="21"/>
          <w:szCs w:val="21"/>
        </w:rPr>
        <w:t>本公司（单位）法定代表人、控股股东或实际控制人与招标人高管人员及使用需求（业务主管）部门、采购管理部门关键岗位人员无夫妻、直系血亲、三代以内旁系血亲或者近姻亲关系。</w:t>
      </w:r>
    </w:p>
    <w:p>
      <w:pPr>
        <w:numPr>
          <w:ilvl w:val="0"/>
          <w:numId w:val="46"/>
        </w:numPr>
        <w:spacing w:line="360" w:lineRule="auto"/>
        <w:ind w:firstLine="420" w:firstLineChars="200"/>
        <w:rPr>
          <w:rFonts w:hint="eastAsia" w:ascii="宋体" w:hAnsi="宋体" w:eastAsia="宋体" w:cs="宋体"/>
          <w:b/>
          <w:bCs/>
          <w:sz w:val="21"/>
          <w:szCs w:val="21"/>
        </w:rPr>
      </w:pPr>
      <w:r>
        <w:rPr>
          <w:rFonts w:hint="eastAsia" w:ascii="宋体" w:hAnsi="宋体" w:eastAsia="宋体" w:cs="宋体"/>
          <w:b/>
          <w:bCs/>
          <w:sz w:val="21"/>
          <w:szCs w:val="21"/>
        </w:rPr>
        <w:t>与本公司负责人为同一人或者存在控股、管理关系的不同投标人，未同时参加本项目（包件）投标。</w:t>
      </w:r>
    </w:p>
    <w:p>
      <w:pPr>
        <w:numPr>
          <w:ilvl w:val="0"/>
          <w:numId w:val="4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不向招标人高管人员、使用需求（业务主管）部门、采购管理部门关键岗位人员及其亲属行贿或者提供其他不正当利益。</w:t>
      </w:r>
    </w:p>
    <w:p>
      <w:pPr>
        <w:numPr>
          <w:ilvl w:val="0"/>
          <w:numId w:val="4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合法正当参与投标，不串标，不诋毁采购任何一方的名誉或进行虚假恶意投诉，不以其他方式排挤其他投标人。</w:t>
      </w:r>
    </w:p>
    <w:p>
      <w:pPr>
        <w:numPr>
          <w:ilvl w:val="0"/>
          <w:numId w:val="4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本公司（单位）若处于被责令停业、破产状态，处于非正常的营业等状况，及时告知贵行。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若违背上述承诺，本公司（单位）将承担由此产生的法律责任，接受</w:t>
      </w:r>
      <w:r>
        <w:rPr>
          <w:rFonts w:hint="eastAsia" w:ascii="宋体" w:hAnsi="宋体" w:eastAsia="宋体" w:cs="宋体"/>
          <w:sz w:val="21"/>
          <w:szCs w:val="21"/>
          <w:lang w:eastAsia="zh-Hans"/>
        </w:rPr>
        <w:t>兑吧</w:t>
      </w:r>
      <w:r>
        <w:rPr>
          <w:rFonts w:hint="eastAsia" w:ascii="宋体" w:hAnsi="宋体" w:eastAsia="宋体" w:cs="宋体"/>
          <w:sz w:val="21"/>
          <w:szCs w:val="21"/>
        </w:rPr>
        <w:t>依法依规所做出的处理决定，赔偿因此所造成的</w:t>
      </w:r>
      <w:r>
        <w:rPr>
          <w:rFonts w:hint="eastAsia" w:ascii="宋体" w:hAnsi="宋体" w:eastAsia="宋体" w:cs="宋体"/>
          <w:sz w:val="21"/>
          <w:szCs w:val="21"/>
          <w:lang w:eastAsia="zh-Hans"/>
        </w:rPr>
        <w:t>兑吧</w:t>
      </w:r>
      <w:r>
        <w:rPr>
          <w:rFonts w:hint="eastAsia" w:ascii="宋体" w:hAnsi="宋体" w:eastAsia="宋体" w:cs="宋体"/>
          <w:sz w:val="21"/>
          <w:szCs w:val="21"/>
        </w:rPr>
        <w:t>的全部损失。</w:t>
      </w:r>
    </w:p>
    <w:p>
      <w:pPr>
        <w:pStyle w:val="8"/>
        <w:spacing w:before="120" w:line="360" w:lineRule="auto"/>
        <w:rPr>
          <w:rFonts w:hint="eastAsia" w:ascii="宋体" w:hAnsi="宋体" w:eastAsia="宋体" w:cs="宋体"/>
          <w:sz w:val="21"/>
          <w:szCs w:val="21"/>
        </w:rPr>
      </w:pPr>
      <w:r>
        <w:rPr>
          <w:rFonts w:hint="eastAsia" w:ascii="宋体" w:hAnsi="宋体" w:eastAsia="宋体" w:cs="宋体"/>
          <w:sz w:val="21"/>
          <w:szCs w:val="21"/>
        </w:rPr>
        <w:t>投标人名称（公章）：</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日期：</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beforeAutospacing="1" w:line="360" w:lineRule="auto"/>
        <w:rPr>
          <w:rFonts w:hint="eastAsia" w:ascii="宋体" w:hAnsi="宋体" w:eastAsia="宋体" w:cs="宋体"/>
          <w:sz w:val="21"/>
          <w:szCs w:val="21"/>
        </w:rPr>
        <w:sectPr>
          <w:pgSz w:w="11907" w:h="16840"/>
          <w:pgMar w:top="1440" w:right="1803" w:bottom="1440" w:left="1803" w:header="851" w:footer="1134" w:gutter="0"/>
          <w:cols w:space="720" w:num="1"/>
          <w:docGrid w:type="lines" w:linePitch="290" w:charSpace="0"/>
        </w:sect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13" w:name="_Toc20866"/>
      <w:bookmarkStart w:id="14" w:name="_Toc30333953"/>
      <w:bookmarkStart w:id="15" w:name="_Toc10229"/>
      <w:r>
        <w:rPr>
          <w:rFonts w:hint="eastAsia" w:ascii="宋体" w:hAnsi="宋体" w:eastAsia="宋体" w:cs="宋体"/>
          <w:sz w:val="22"/>
          <w:szCs w:val="22"/>
        </w:rPr>
        <w:t>信用中国网站截图</w:t>
      </w:r>
      <w:bookmarkEnd w:id="13"/>
      <w:bookmarkEnd w:id="14"/>
      <w:bookmarkEnd w:id="15"/>
    </w:p>
    <w:p>
      <w:pPr>
        <w:spacing w:after="312" w:afterLines="100"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信用中国网站截图</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注：投标人将“信用中国”网站（http://www.creditchina.gov.cn）截图附在此处，并加盖公章。截图应能清晰显示投标人名称、查询结果。</w:t>
      </w:r>
    </w:p>
    <w:p>
      <w:pPr>
        <w:spacing w:line="360" w:lineRule="auto"/>
        <w:rPr>
          <w:rFonts w:hint="eastAsia" w:ascii="宋体" w:hAnsi="宋体" w:eastAsia="宋体" w:cs="宋体"/>
          <w:b/>
          <w:bCs/>
          <w:sz w:val="21"/>
          <w:szCs w:val="21"/>
        </w:rPr>
      </w:pPr>
    </w:p>
    <w:p>
      <w:pPr>
        <w:pStyle w:val="8"/>
        <w:spacing w:before="120" w:line="360" w:lineRule="auto"/>
        <w:rPr>
          <w:rFonts w:hint="eastAsia" w:ascii="宋体" w:hAnsi="宋体" w:eastAsia="宋体" w:cs="宋体"/>
          <w:sz w:val="21"/>
          <w:szCs w:val="21"/>
        </w:rPr>
      </w:pPr>
      <w:r>
        <w:rPr>
          <w:rFonts w:hint="eastAsia" w:ascii="宋体" w:hAnsi="宋体" w:eastAsia="宋体" w:cs="宋体"/>
          <w:sz w:val="21"/>
          <w:szCs w:val="21"/>
        </w:rPr>
        <w:t>查询截图示例（以查询“</w:t>
      </w:r>
      <w:r>
        <w:rPr>
          <w:rFonts w:hint="eastAsia" w:ascii="宋体" w:hAnsi="宋体" w:eastAsia="宋体" w:cs="宋体"/>
          <w:sz w:val="21"/>
          <w:szCs w:val="21"/>
          <w:lang w:eastAsia="zh-Hans"/>
        </w:rPr>
        <w:t>杭州兑吧网络科技有限公司</w:t>
      </w:r>
      <w:r>
        <w:rPr>
          <w:rFonts w:hint="eastAsia" w:ascii="宋体" w:hAnsi="宋体" w:eastAsia="宋体" w:cs="宋体"/>
          <w:sz w:val="21"/>
          <w:szCs w:val="21"/>
        </w:rPr>
        <w:t>”为例）：</w:t>
      </w:r>
    </w:p>
    <w:p>
      <w:pPr>
        <w:spacing w:line="360" w:lineRule="auto"/>
        <w:rPr>
          <w:rFonts w:hint="eastAsia" w:ascii="宋体" w:hAnsi="宋体" w:eastAsia="宋体" w:cs="宋体"/>
          <w:sz w:val="21"/>
          <w:szCs w:val="21"/>
        </w:rPr>
      </w:pPr>
      <w:r>
        <w:rPr>
          <w:rFonts w:hint="eastAsia" w:ascii="宋体" w:hAnsi="宋体" w:eastAsia="宋体" w:cs="宋体"/>
          <w:sz w:val="21"/>
          <w:szCs w:val="21"/>
        </w:rPr>
        <w:t>1. 未被列入失信被执行人查询截图：</w:t>
      </w:r>
    </w:p>
    <w:p>
      <w:pPr>
        <w:pStyle w:val="8"/>
        <w:spacing w:before="120" w:line="360" w:lineRule="auto"/>
        <w:rPr>
          <w:rFonts w:hint="eastAsia" w:ascii="宋体" w:hAnsi="宋体" w:eastAsia="宋体" w:cs="宋体"/>
          <w:sz w:val="21"/>
          <w:szCs w:val="21"/>
          <w:u w:val="single"/>
        </w:rPr>
      </w:pPr>
      <w:r>
        <w:rPr>
          <w:rFonts w:hint="eastAsia" w:ascii="宋体" w:hAnsi="宋体" w:eastAsia="宋体" w:cs="宋体"/>
          <w:sz w:val="21"/>
          <w:szCs w:val="21"/>
        </w:rPr>
        <w:drawing>
          <wp:inline distT="0" distB="0" distL="114300" distR="114300">
            <wp:extent cx="5057775" cy="4272280"/>
            <wp:effectExtent l="0" t="0" r="22225" b="203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057775" cy="4272280"/>
                    </a:xfrm>
                    <a:prstGeom prst="rect">
                      <a:avLst/>
                    </a:prstGeom>
                    <a:noFill/>
                    <a:ln w="9525">
                      <a:noFill/>
                    </a:ln>
                  </pic:spPr>
                </pic:pic>
              </a:graphicData>
            </a:graphic>
          </wp:inline>
        </w:drawing>
      </w:r>
    </w:p>
    <w:p>
      <w:pPr>
        <w:spacing w:line="360" w:lineRule="auto"/>
        <w:rPr>
          <w:rFonts w:hint="eastAsia" w:ascii="宋体" w:hAnsi="宋体" w:eastAsia="宋体" w:cs="宋体"/>
          <w:sz w:val="21"/>
          <w:szCs w:val="21"/>
        </w:rPr>
      </w:pPr>
      <w:r>
        <w:rPr>
          <w:rFonts w:hint="eastAsia" w:ascii="宋体" w:hAnsi="宋体" w:eastAsia="宋体" w:cs="宋体"/>
          <w:sz w:val="21"/>
          <w:szCs w:val="21"/>
        </w:rPr>
        <w:br w:type="page"/>
      </w:r>
    </w:p>
    <w:p>
      <w:pPr>
        <w:spacing w:line="360" w:lineRule="auto"/>
        <w:rPr>
          <w:rFonts w:hint="eastAsia" w:ascii="宋体" w:hAnsi="宋体" w:eastAsia="宋体" w:cs="宋体"/>
          <w:sz w:val="21"/>
          <w:szCs w:val="21"/>
        </w:rPr>
      </w:pPr>
      <w:r>
        <w:rPr>
          <w:rFonts w:hint="eastAsia" w:ascii="宋体" w:hAnsi="宋体" w:eastAsia="宋体" w:cs="宋体"/>
          <w:sz w:val="21"/>
          <w:szCs w:val="21"/>
        </w:rPr>
        <w:t>2.未被列入重大税收违法案件当事人名单查询截图：</w:t>
      </w:r>
    </w:p>
    <w:p>
      <w:pPr>
        <w:pStyle w:val="8"/>
        <w:spacing w:before="120" w:line="360" w:lineRule="auto"/>
        <w:rPr>
          <w:rFonts w:hint="eastAsia" w:ascii="宋体" w:hAnsi="宋体" w:eastAsia="宋体" w:cs="宋体"/>
          <w:sz w:val="21"/>
          <w:szCs w:val="21"/>
          <w:u w:val="single"/>
        </w:rPr>
      </w:pPr>
      <w:r>
        <w:rPr>
          <w:rFonts w:hint="eastAsia" w:ascii="宋体" w:hAnsi="宋体" w:eastAsia="宋体" w:cs="宋体"/>
          <w:sz w:val="21"/>
          <w:szCs w:val="21"/>
        </w:rPr>
        <w:drawing>
          <wp:inline distT="0" distB="0" distL="114300" distR="114300">
            <wp:extent cx="4390390" cy="3815715"/>
            <wp:effectExtent l="0" t="0" r="3810" b="196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4390390" cy="3815715"/>
                    </a:xfrm>
                    <a:prstGeom prst="rect">
                      <a:avLst/>
                    </a:prstGeom>
                    <a:noFill/>
                    <a:ln w="9525">
                      <a:noFill/>
                    </a:ln>
                  </pic:spPr>
                </pic:pic>
              </a:graphicData>
            </a:graphic>
          </wp:inline>
        </w:drawing>
      </w:r>
    </w:p>
    <w:p>
      <w:pPr>
        <w:spacing w:line="360" w:lineRule="auto"/>
        <w:rPr>
          <w:rFonts w:hint="eastAsia" w:ascii="宋体" w:hAnsi="宋体" w:eastAsia="宋体" w:cs="宋体"/>
          <w:sz w:val="21"/>
          <w:szCs w:val="21"/>
        </w:rPr>
      </w:pPr>
      <w:r>
        <w:rPr>
          <w:rFonts w:hint="eastAsia" w:ascii="宋体" w:hAnsi="宋体" w:eastAsia="宋体" w:cs="宋体"/>
          <w:sz w:val="21"/>
          <w:szCs w:val="21"/>
        </w:rPr>
        <w:t>3. 未被列入政府采购严重违法失信行为记录名单查询截图</w:t>
      </w:r>
    </w:p>
    <w:p>
      <w:pPr>
        <w:spacing w:line="360" w:lineRule="auto"/>
        <w:rPr>
          <w:rFonts w:hint="eastAsia" w:ascii="宋体" w:hAnsi="宋体" w:eastAsia="宋体" w:cs="宋体"/>
          <w:sz w:val="21"/>
          <w:szCs w:val="21"/>
        </w:rPr>
      </w:pPr>
      <w:r>
        <w:rPr>
          <w:rFonts w:hint="eastAsia" w:ascii="宋体" w:hAnsi="宋体" w:eastAsia="宋体" w:cs="宋体"/>
          <w:sz w:val="21"/>
          <w:szCs w:val="21"/>
        </w:rPr>
        <w:t>备注：如查询政府采购严重违法失信行为记录名单查询截图时，无法查询到上述截图，可直接从“信用中国”网站下载投标人的“信用信息”报告，如下图：</w:t>
      </w:r>
    </w:p>
    <w:p>
      <w:pPr>
        <w:pStyle w:val="8"/>
        <w:spacing w:before="120" w:line="360" w:lineRule="auto"/>
        <w:rPr>
          <w:rFonts w:hint="eastAsia" w:ascii="宋体" w:hAnsi="宋体" w:eastAsia="宋体" w:cs="宋体"/>
          <w:b/>
          <w:bCs/>
          <w:sz w:val="21"/>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 w:val="21"/>
          <w:szCs w:val="21"/>
        </w:rPr>
        <w:drawing>
          <wp:inline distT="0" distB="0" distL="114300" distR="114300">
            <wp:extent cx="4467860" cy="2978785"/>
            <wp:effectExtent l="0" t="0" r="2540"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4467860" cy="2978785"/>
                    </a:xfrm>
                    <a:prstGeom prst="rect">
                      <a:avLst/>
                    </a:prstGeom>
                    <a:noFill/>
                    <a:ln w="9525">
                      <a:noFill/>
                    </a:ln>
                  </pic:spPr>
                </pic:pic>
              </a:graphicData>
            </a:graphic>
          </wp:inline>
        </w:drawing>
      </w: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16" w:name="_Toc5677"/>
      <w:r>
        <w:rPr>
          <w:rFonts w:hint="eastAsia" w:ascii="宋体" w:hAnsi="宋体" w:eastAsia="宋体" w:cs="宋体"/>
          <w:sz w:val="22"/>
          <w:szCs w:val="22"/>
        </w:rPr>
        <w:t>资质认证</w:t>
      </w:r>
      <w:bookmarkEnd w:id="16"/>
    </w:p>
    <w:p>
      <w:pPr>
        <w:spacing w:line="360" w:lineRule="auto"/>
        <w:rPr>
          <w:rFonts w:hint="eastAsia" w:ascii="宋体" w:hAnsi="宋体" w:eastAsia="宋体" w:cs="宋体"/>
          <w:sz w:val="21"/>
          <w:szCs w:val="21"/>
        </w:rPr>
      </w:pPr>
      <w:r>
        <w:rPr>
          <w:rFonts w:hint="eastAsia" w:ascii="宋体" w:hAnsi="宋体" w:eastAsia="宋体" w:cs="宋体"/>
          <w:b/>
          <w:bCs/>
          <w:sz w:val="21"/>
          <w:szCs w:val="21"/>
        </w:rPr>
        <w:t>注：投标人根据招标文件合格投标人基本资质要求和《评标办法》的评审内容，提供相应资质认证复印件，并加盖公章。如招标文件合格投标人基本资质条件和《评标办法》中未要求相关资质认证，则可不提供。</w:t>
      </w:r>
    </w:p>
    <w:p>
      <w:pPr>
        <w:pStyle w:val="5"/>
        <w:numPr>
          <w:ilvl w:val="2"/>
          <w:numId w:val="45"/>
        </w:numPr>
        <w:tabs>
          <w:tab w:val="left" w:pos="420"/>
          <w:tab w:val="left" w:pos="1555"/>
        </w:tabs>
        <w:ind w:left="720"/>
        <w:rPr>
          <w:rFonts w:hint="eastAsia" w:ascii="宋体" w:hAnsi="宋体" w:eastAsia="宋体" w:cs="宋体"/>
          <w:sz w:val="22"/>
          <w:szCs w:val="22"/>
        </w:rPr>
      </w:pPr>
      <w:bookmarkStart w:id="17" w:name="_Toc33704695"/>
      <w:bookmarkStart w:id="18" w:name="_Toc31459"/>
      <w:bookmarkStart w:id="19" w:name="_Toc6378"/>
      <w:r>
        <w:rPr>
          <w:rFonts w:hint="eastAsia" w:ascii="宋体" w:hAnsi="宋体" w:eastAsia="宋体" w:cs="宋体"/>
          <w:sz w:val="22"/>
          <w:szCs w:val="22"/>
        </w:rPr>
        <w:t>资质证书列表</w:t>
      </w:r>
      <w:bookmarkEnd w:id="17"/>
      <w:bookmarkEnd w:id="18"/>
      <w:bookmarkEnd w:id="19"/>
    </w:p>
    <w:p>
      <w:pPr>
        <w:rPr>
          <w:rFonts w:hint="eastAsia" w:ascii="宋体" w:hAnsi="宋体" w:eastAsia="宋体" w:cs="宋体"/>
          <w:sz w:val="21"/>
          <w:szCs w:val="21"/>
        </w:rPr>
      </w:pPr>
    </w:p>
    <w:tbl>
      <w:tblPr>
        <w:tblStyle w:val="1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00"/>
        <w:gridCol w:w="2535"/>
        <w:gridCol w:w="168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79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10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资质证书名称</w:t>
            </w:r>
          </w:p>
        </w:tc>
        <w:tc>
          <w:tcPr>
            <w:tcW w:w="2535"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认证范围</w:t>
            </w:r>
          </w:p>
        </w:tc>
        <w:tc>
          <w:tcPr>
            <w:tcW w:w="168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颁发机构</w:t>
            </w:r>
          </w:p>
        </w:tc>
        <w:tc>
          <w:tcPr>
            <w:tcW w:w="1414"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79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210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2535"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680"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414" w:type="dxa"/>
            <w:vAlign w:val="center"/>
          </w:tcPr>
          <w:p>
            <w:pPr>
              <w:pStyle w:val="10"/>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r>
    </w:tbl>
    <w:p>
      <w:pPr>
        <w:pStyle w:val="10"/>
        <w:rPr>
          <w:rFonts w:hint="eastAsia" w:ascii="宋体" w:hAnsi="宋体" w:eastAsia="宋体" w:cs="宋体"/>
          <w:sz w:val="21"/>
          <w:szCs w:val="21"/>
        </w:rPr>
      </w:pPr>
    </w:p>
    <w:p>
      <w:pPr>
        <w:pStyle w:val="5"/>
        <w:numPr>
          <w:ilvl w:val="2"/>
          <w:numId w:val="45"/>
        </w:numPr>
        <w:tabs>
          <w:tab w:val="left" w:pos="420"/>
          <w:tab w:val="left" w:pos="1555"/>
        </w:tabs>
        <w:ind w:left="720"/>
        <w:rPr>
          <w:rFonts w:hint="eastAsia" w:ascii="宋体" w:hAnsi="宋体" w:eastAsia="宋体" w:cs="宋体"/>
          <w:sz w:val="22"/>
          <w:szCs w:val="22"/>
        </w:rPr>
      </w:pPr>
      <w:bookmarkStart w:id="20" w:name="_Toc33704696"/>
      <w:bookmarkStart w:id="21" w:name="_Toc5794"/>
      <w:bookmarkStart w:id="22" w:name="_Toc29676"/>
      <w:r>
        <w:rPr>
          <w:rFonts w:hint="eastAsia" w:ascii="宋体" w:hAnsi="宋体" w:eastAsia="宋体" w:cs="宋体"/>
          <w:sz w:val="22"/>
          <w:szCs w:val="22"/>
        </w:rPr>
        <w:t>资质证书复印件</w:t>
      </w:r>
      <w:bookmarkEnd w:id="20"/>
      <w:bookmarkEnd w:id="21"/>
      <w:bookmarkEnd w:id="22"/>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投标人按照上表顺序，提供相关资质认证复印件，并加盖公章。复印件应能清晰显示投标人/原厂商名称、有效期等关键信息。</w:t>
      </w:r>
    </w:p>
    <w:p>
      <w:pPr>
        <w:pStyle w:val="6"/>
        <w:numPr>
          <w:ilvl w:val="3"/>
          <w:numId w:val="45"/>
        </w:numPr>
        <w:ind w:left="864"/>
        <w:rPr>
          <w:rFonts w:hint="eastAsia" w:ascii="宋体" w:hAnsi="宋体" w:eastAsia="宋体" w:cs="宋体"/>
          <w:sz w:val="21"/>
          <w:szCs w:val="21"/>
        </w:rPr>
      </w:pPr>
      <w:r>
        <w:rPr>
          <w:rFonts w:hint="eastAsia" w:ascii="宋体" w:hAnsi="宋体" w:eastAsia="宋体" w:cs="宋体"/>
          <w:sz w:val="21"/>
          <w:szCs w:val="21"/>
        </w:rPr>
        <w:t>（示例）（资质证书1名称）</w:t>
      </w:r>
    </w:p>
    <w:p>
      <w:pPr>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23" w:name="_Toc25373"/>
      <w:bookmarkStart w:id="24" w:name="_Toc30333957"/>
      <w:bookmarkStart w:id="25" w:name="_Toc13192"/>
      <w:r>
        <w:rPr>
          <w:rFonts w:hint="eastAsia" w:ascii="宋体" w:hAnsi="宋体" w:eastAsia="宋体" w:cs="宋体"/>
          <w:sz w:val="22"/>
          <w:szCs w:val="22"/>
        </w:rPr>
        <w:t>业绩案例</w:t>
      </w:r>
      <w:bookmarkEnd w:id="23"/>
      <w:bookmarkEnd w:id="24"/>
      <w:bookmarkEnd w:id="25"/>
    </w:p>
    <w:p>
      <w:pPr>
        <w:spacing w:line="360" w:lineRule="auto"/>
        <w:rPr>
          <w:rFonts w:hint="eastAsia" w:ascii="宋体" w:hAnsi="宋体" w:eastAsia="宋体" w:cs="宋体"/>
          <w:sz w:val="21"/>
          <w:szCs w:val="21"/>
        </w:rPr>
      </w:pPr>
      <w:bookmarkStart w:id="26" w:name="_Toc30333958"/>
      <w:bookmarkStart w:id="27" w:name="_Toc26302"/>
      <w:r>
        <w:rPr>
          <w:rFonts w:hint="eastAsia" w:ascii="宋体" w:hAnsi="宋体" w:eastAsia="宋体" w:cs="宋体"/>
          <w:b/>
          <w:bCs/>
          <w:sz w:val="21"/>
          <w:szCs w:val="21"/>
        </w:rPr>
        <w:t>注：投标人根据招标文件合格投标人基本资质要求和《评标办法》的评审内容，提供相应业绩案例。如招标文件合格投标人基本资质条件和《评标办法》中未要求相关业绩案例，则可不提供。</w:t>
      </w:r>
    </w:p>
    <w:p>
      <w:pPr>
        <w:pStyle w:val="5"/>
        <w:numPr>
          <w:ilvl w:val="2"/>
          <w:numId w:val="45"/>
        </w:numPr>
        <w:tabs>
          <w:tab w:val="left" w:pos="420"/>
          <w:tab w:val="left" w:pos="1555"/>
        </w:tabs>
        <w:ind w:left="720"/>
        <w:rPr>
          <w:rFonts w:hint="eastAsia" w:ascii="宋体" w:hAnsi="宋体" w:eastAsia="宋体" w:cs="宋体"/>
          <w:sz w:val="21"/>
          <w:szCs w:val="21"/>
        </w:rPr>
      </w:pPr>
      <w:bookmarkStart w:id="28" w:name="_Toc26228"/>
      <w:r>
        <w:rPr>
          <w:rFonts w:hint="eastAsia" w:ascii="宋体" w:hAnsi="宋体" w:eastAsia="宋体" w:cs="宋体"/>
          <w:sz w:val="21"/>
          <w:szCs w:val="21"/>
        </w:rPr>
        <w:t>业绩案例列表</w:t>
      </w:r>
      <w:bookmarkEnd w:id="26"/>
      <w:bookmarkEnd w:id="27"/>
      <w:bookmarkEnd w:id="28"/>
    </w:p>
    <w:p>
      <w:pPr>
        <w:pStyle w:val="10"/>
        <w:widowControl w:val="0"/>
        <w:spacing w:line="360" w:lineRule="auto"/>
        <w:jc w:val="both"/>
        <w:rPr>
          <w:rFonts w:hint="eastAsia" w:ascii="宋体" w:hAnsi="宋体" w:eastAsia="宋体" w:cs="宋体"/>
          <w:b/>
          <w:sz w:val="21"/>
          <w:szCs w:val="21"/>
        </w:rPr>
      </w:pPr>
      <w:r>
        <w:rPr>
          <w:rFonts w:hint="eastAsia" w:ascii="宋体" w:hAnsi="宋体" w:eastAsia="宋体" w:cs="宋体"/>
          <w:sz w:val="21"/>
          <w:szCs w:val="21"/>
        </w:rPr>
        <w:t xml:space="preserve">    2020年1月1日至投标截止日，投标人具有</w:t>
      </w:r>
      <w:r>
        <w:rPr>
          <w:rFonts w:hint="eastAsia" w:ascii="宋体" w:hAnsi="宋体" w:eastAsia="宋体" w:cs="宋体"/>
          <w:sz w:val="21"/>
          <w:szCs w:val="21"/>
          <w:lang w:val="en-US" w:eastAsia="zh-Hans"/>
        </w:rPr>
        <w:t>直播代运营</w:t>
      </w:r>
      <w:r>
        <w:rPr>
          <w:rFonts w:hint="eastAsia" w:ascii="宋体" w:hAnsi="宋体" w:eastAsia="宋体" w:cs="宋体"/>
          <w:sz w:val="21"/>
          <w:szCs w:val="21"/>
        </w:rPr>
        <w:t>供应合作案例（以合同签订时间为准，并提供合同的复印件或用户证明材料</w:t>
      </w:r>
      <w:r>
        <w:rPr>
          <w:rFonts w:hint="eastAsia" w:ascii="宋体" w:hAnsi="宋体" w:eastAsia="宋体" w:cs="宋体"/>
          <w:sz w:val="21"/>
          <w:szCs w:val="21"/>
          <w:lang w:eastAsia="zh-Hans"/>
        </w:rPr>
        <w:t>，</w:t>
      </w:r>
      <w:r>
        <w:rPr>
          <w:rFonts w:hint="eastAsia" w:ascii="宋体" w:hAnsi="宋体" w:eastAsia="宋体" w:cs="宋体"/>
          <w:sz w:val="21"/>
          <w:szCs w:val="21"/>
        </w:rPr>
        <w:t>最多提供10个，根据与本项目内容与规模的相似性及匹配度打分）。</w:t>
      </w:r>
    </w:p>
    <w:tbl>
      <w:tblPr>
        <w:tblStyle w:val="12"/>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10"/>
        <w:gridCol w:w="1120"/>
        <w:gridCol w:w="2116"/>
        <w:gridCol w:w="849"/>
        <w:gridCol w:w="1105"/>
        <w:gridCol w:w="73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项目名称</w:t>
            </w: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合同签订时间</w:t>
            </w: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合同主要内容</w:t>
            </w: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甲方单位名称</w:t>
            </w: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甲方单位</w:t>
            </w:r>
          </w:p>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联系人</w:t>
            </w: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联系电话</w:t>
            </w: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证明文件</w:t>
            </w:r>
          </w:p>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2</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3</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4</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5</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6</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7</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8</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9</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rPr>
              <w:t>10</w:t>
            </w:r>
          </w:p>
        </w:tc>
        <w:tc>
          <w:tcPr>
            <w:tcW w:w="111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211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849"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spacing w:before="0" w:beforeAutospacing="0" w:after="0" w:afterAutospacing="0"/>
              <w:ind w:left="0" w:right="0"/>
              <w:jc w:val="center"/>
              <w:rPr>
                <w:rFonts w:hint="eastAsia" w:ascii="宋体" w:hAnsi="宋体" w:eastAsia="宋体" w:cs="宋体"/>
                <w:b/>
                <w:sz w:val="21"/>
                <w:szCs w:val="21"/>
              </w:rPr>
            </w:pPr>
          </w:p>
        </w:tc>
      </w:tr>
    </w:tbl>
    <w:p>
      <w:pPr>
        <w:pStyle w:val="10"/>
        <w:widowControl w:val="0"/>
        <w:spacing w:line="360" w:lineRule="auto"/>
        <w:ind w:firstLine="420" w:firstLineChars="200"/>
        <w:jc w:val="both"/>
        <w:rPr>
          <w:rFonts w:hint="eastAsia" w:ascii="宋体" w:hAnsi="宋体" w:eastAsia="宋体" w:cs="宋体"/>
          <w:sz w:val="21"/>
          <w:szCs w:val="21"/>
        </w:rPr>
      </w:pPr>
    </w:p>
    <w:p>
      <w:pPr>
        <w:pStyle w:val="8"/>
        <w:spacing w:before="120" w:line="360" w:lineRule="auto"/>
        <w:rPr>
          <w:rFonts w:hint="eastAsia" w:ascii="宋体" w:hAnsi="宋体" w:eastAsia="宋体" w:cs="宋体"/>
          <w:kern w:val="2"/>
          <w:sz w:val="21"/>
          <w:szCs w:val="21"/>
        </w:rPr>
      </w:pPr>
      <w:r>
        <w:rPr>
          <w:rFonts w:hint="eastAsia" w:ascii="宋体" w:hAnsi="宋体" w:eastAsia="宋体" w:cs="宋体"/>
          <w:sz w:val="21"/>
          <w:szCs w:val="21"/>
        </w:rPr>
        <w:t>投标人名称（公章）：</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日期：</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pStyle w:val="9"/>
        <w:spacing w:line="360" w:lineRule="auto"/>
        <w:rPr>
          <w:rFonts w:hint="eastAsia" w:ascii="宋体" w:hAnsi="宋体" w:eastAsia="宋体" w:cs="宋体"/>
          <w:sz w:val="21"/>
          <w:szCs w:val="21"/>
          <w:u w:val="single"/>
        </w:rPr>
      </w:pPr>
    </w:p>
    <w:p>
      <w:pPr>
        <w:pStyle w:val="9"/>
        <w:spacing w:line="360" w:lineRule="auto"/>
        <w:rPr>
          <w:rFonts w:hint="eastAsia" w:ascii="宋体" w:hAnsi="宋体" w:eastAsia="宋体" w:cs="宋体"/>
          <w:sz w:val="21"/>
          <w:szCs w:val="21"/>
        </w:rPr>
      </w:pPr>
      <w:r>
        <w:rPr>
          <w:rFonts w:hint="eastAsia" w:ascii="宋体" w:hAnsi="宋体" w:eastAsia="宋体" w:cs="宋体"/>
          <w:sz w:val="21"/>
          <w:szCs w:val="21"/>
        </w:rPr>
        <w:t>填表说明：</w:t>
      </w:r>
    </w:p>
    <w:p>
      <w:pPr>
        <w:numPr>
          <w:ilvl w:val="0"/>
          <w:numId w:val="47"/>
        </w:numPr>
        <w:spacing w:line="360" w:lineRule="auto"/>
        <w:rPr>
          <w:rFonts w:hint="eastAsia" w:ascii="宋体" w:hAnsi="宋体" w:eastAsia="宋体" w:cs="宋体"/>
          <w:sz w:val="21"/>
          <w:szCs w:val="21"/>
        </w:rPr>
      </w:pPr>
      <w:r>
        <w:rPr>
          <w:rFonts w:hint="eastAsia" w:ascii="宋体" w:hAnsi="宋体" w:eastAsia="宋体" w:cs="宋体"/>
          <w:sz w:val="21"/>
          <w:szCs w:val="21"/>
        </w:rPr>
        <w:t>投标人须按第一章《招标公告》中合格投标人的基本资质要求和《评标办法》的评审内容，如实提供符合要求的证明文件。</w:t>
      </w:r>
    </w:p>
    <w:p>
      <w:pPr>
        <w:numPr>
          <w:ilvl w:val="0"/>
          <w:numId w:val="47"/>
        </w:numPr>
        <w:spacing w:line="360" w:lineRule="auto"/>
        <w:rPr>
          <w:rFonts w:hint="eastAsia" w:ascii="宋体" w:hAnsi="宋体" w:eastAsia="宋体" w:cs="宋体"/>
          <w:sz w:val="21"/>
          <w:szCs w:val="21"/>
        </w:rPr>
      </w:pPr>
      <w:r>
        <w:rPr>
          <w:rFonts w:hint="eastAsia" w:ascii="宋体" w:hAnsi="宋体" w:eastAsia="宋体" w:cs="宋体"/>
          <w:sz w:val="21"/>
          <w:szCs w:val="21"/>
        </w:rPr>
        <w:t>合同须为最终用户（买方是最终用户）直接签署，否则业绩无效。</w:t>
      </w:r>
    </w:p>
    <w:p>
      <w:pPr>
        <w:numPr>
          <w:ilvl w:val="0"/>
          <w:numId w:val="47"/>
        </w:numPr>
        <w:spacing w:line="360" w:lineRule="auto"/>
        <w:rPr>
          <w:rFonts w:hint="eastAsia" w:ascii="宋体" w:hAnsi="宋体" w:eastAsia="宋体" w:cs="宋体"/>
          <w:sz w:val="21"/>
          <w:szCs w:val="21"/>
        </w:rPr>
      </w:pPr>
      <w:r>
        <w:rPr>
          <w:rFonts w:hint="eastAsia" w:ascii="宋体" w:hAnsi="宋体" w:eastAsia="宋体" w:cs="宋体"/>
          <w:sz w:val="21"/>
          <w:szCs w:val="21"/>
        </w:rPr>
        <w:t>可提供合同复印件或用户证明作为证明材料。合同复印件必须至少包含清晰的双方印章、主要的采购内容、签订时间、合同正文第一页等合同信息，缺少任何一项将有可能视同合同无效。</w:t>
      </w:r>
    </w:p>
    <w:p>
      <w:pPr>
        <w:numPr>
          <w:ilvl w:val="0"/>
          <w:numId w:val="47"/>
        </w:numPr>
        <w:spacing w:line="360" w:lineRule="auto"/>
        <w:rPr>
          <w:rFonts w:hint="eastAsia" w:ascii="宋体" w:hAnsi="宋体" w:eastAsia="宋体" w:cs="宋体"/>
          <w:sz w:val="21"/>
          <w:szCs w:val="21"/>
        </w:rPr>
      </w:pPr>
      <w:r>
        <w:rPr>
          <w:rFonts w:hint="eastAsia" w:ascii="宋体" w:hAnsi="宋体" w:eastAsia="宋体" w:cs="宋体"/>
          <w:sz w:val="21"/>
          <w:szCs w:val="21"/>
        </w:rPr>
        <w:t>投标人需按照表格的顺序装订业绩证明文件，装订顺序须与表中所列项目顺序一致。</w:t>
      </w:r>
    </w:p>
    <w:p>
      <w:pPr>
        <w:numPr>
          <w:ilvl w:val="0"/>
          <w:numId w:val="47"/>
        </w:numPr>
        <w:spacing w:line="360" w:lineRule="auto"/>
        <w:rPr>
          <w:rFonts w:hint="eastAsia" w:ascii="宋体" w:hAnsi="宋体" w:eastAsia="宋体" w:cs="宋体"/>
          <w:sz w:val="21"/>
          <w:szCs w:val="21"/>
        </w:rPr>
      </w:pPr>
      <w:r>
        <w:rPr>
          <w:rFonts w:hint="eastAsia" w:ascii="宋体" w:hAnsi="宋体" w:eastAsia="宋体" w:cs="宋体"/>
          <w:sz w:val="21"/>
          <w:szCs w:val="21"/>
        </w:rPr>
        <w:t>投标人提供的业绩数量超过招标文件规定的（如有），评标委员会按照上表排序和招标文件定审核业绩，超出数量规定的业绩，不再纳入审核。</w:t>
      </w:r>
    </w:p>
    <w:p>
      <w:pPr>
        <w:pStyle w:val="10"/>
        <w:rPr>
          <w:rFonts w:hint="eastAsia" w:ascii="宋体" w:hAnsi="宋体" w:eastAsia="宋体" w:cs="宋体"/>
          <w:sz w:val="21"/>
          <w:szCs w:val="21"/>
        </w:rPr>
        <w:sectPr>
          <w:pgSz w:w="11906" w:h="16838"/>
          <w:pgMar w:top="1440" w:right="1800" w:bottom="1440" w:left="1800" w:header="851" w:footer="992" w:gutter="0"/>
          <w:cols w:space="720" w:num="1"/>
          <w:docGrid w:type="lines" w:linePitch="312" w:charSpace="0"/>
        </w:sectPr>
      </w:pPr>
    </w:p>
    <w:p>
      <w:pPr>
        <w:pStyle w:val="5"/>
        <w:numPr>
          <w:ilvl w:val="2"/>
          <w:numId w:val="45"/>
        </w:numPr>
        <w:tabs>
          <w:tab w:val="left" w:pos="420"/>
          <w:tab w:val="left" w:pos="1555"/>
        </w:tabs>
        <w:ind w:left="720"/>
        <w:rPr>
          <w:rFonts w:hint="eastAsia" w:ascii="宋体" w:hAnsi="宋体" w:eastAsia="宋体" w:cs="宋体"/>
          <w:sz w:val="22"/>
          <w:szCs w:val="22"/>
        </w:rPr>
      </w:pPr>
      <w:bookmarkStart w:id="29" w:name="_Toc13577"/>
      <w:bookmarkStart w:id="30" w:name="_Toc24681"/>
      <w:bookmarkStart w:id="31" w:name="_Toc30333959"/>
      <w:r>
        <w:rPr>
          <w:rFonts w:hint="eastAsia" w:ascii="宋体" w:hAnsi="宋体" w:eastAsia="宋体" w:cs="宋体"/>
          <w:sz w:val="22"/>
          <w:szCs w:val="22"/>
        </w:rPr>
        <w:t>业绩案例证明文件</w:t>
      </w:r>
      <w:bookmarkEnd w:id="29"/>
      <w:bookmarkEnd w:id="30"/>
      <w:bookmarkEnd w:id="31"/>
    </w:p>
    <w:p>
      <w:pPr>
        <w:pStyle w:val="10"/>
        <w:spacing w:line="360" w:lineRule="auto"/>
        <w:rPr>
          <w:rFonts w:hint="eastAsia" w:ascii="宋体" w:hAnsi="宋体" w:eastAsia="宋体" w:cs="宋体"/>
          <w:b/>
          <w:sz w:val="21"/>
          <w:szCs w:val="21"/>
        </w:rPr>
      </w:pPr>
      <w:r>
        <w:rPr>
          <w:rFonts w:hint="eastAsia" w:ascii="宋体" w:hAnsi="宋体" w:eastAsia="宋体" w:cs="宋体"/>
          <w:b/>
          <w:sz w:val="21"/>
          <w:szCs w:val="21"/>
        </w:rPr>
        <w:t>注：投标人按照业绩案例表所列顺序，提供每一个案例的证明文件。</w:t>
      </w:r>
    </w:p>
    <w:p>
      <w:pPr>
        <w:pStyle w:val="6"/>
        <w:numPr>
          <w:ilvl w:val="3"/>
          <w:numId w:val="45"/>
        </w:numPr>
        <w:ind w:left="864"/>
        <w:rPr>
          <w:rFonts w:hint="eastAsia" w:ascii="宋体" w:hAnsi="宋体" w:eastAsia="宋体" w:cs="宋体"/>
          <w:sz w:val="21"/>
          <w:szCs w:val="21"/>
        </w:rPr>
      </w:pPr>
      <w:r>
        <w:rPr>
          <w:rFonts w:hint="eastAsia" w:ascii="宋体" w:hAnsi="宋体" w:eastAsia="宋体" w:cs="宋体"/>
          <w:sz w:val="21"/>
          <w:szCs w:val="21"/>
        </w:rPr>
        <w:t>（示例）案例1-1证明文件</w:t>
      </w:r>
    </w:p>
    <w:p>
      <w:pPr>
        <w:pStyle w:val="10"/>
        <w:rPr>
          <w:rFonts w:hint="eastAsia" w:ascii="宋体" w:hAnsi="宋体" w:eastAsia="宋体" w:cs="宋体"/>
          <w:b/>
          <w:sz w:val="21"/>
          <w:szCs w:val="21"/>
        </w:rPr>
      </w:pPr>
    </w:p>
    <w:p>
      <w:pPr>
        <w:pStyle w:val="10"/>
        <w:rPr>
          <w:rFonts w:hint="eastAsia" w:ascii="宋体" w:hAnsi="宋体" w:eastAsia="宋体" w:cs="宋体"/>
          <w:b/>
          <w:sz w:val="21"/>
          <w:szCs w:val="21"/>
        </w:rPr>
      </w:pPr>
    </w:p>
    <w:p>
      <w:pPr>
        <w:pStyle w:val="10"/>
        <w:rPr>
          <w:rFonts w:hint="eastAsia" w:ascii="宋体" w:hAnsi="宋体" w:eastAsia="宋体" w:cs="宋体"/>
          <w:b/>
          <w:sz w:val="21"/>
          <w:szCs w:val="21"/>
        </w:rPr>
      </w:pPr>
    </w:p>
    <w:p>
      <w:pPr>
        <w:pStyle w:val="6"/>
        <w:numPr>
          <w:ilvl w:val="3"/>
          <w:numId w:val="45"/>
        </w:numPr>
        <w:ind w:left="864"/>
        <w:rPr>
          <w:rFonts w:hint="eastAsia" w:ascii="宋体" w:hAnsi="宋体" w:eastAsia="宋体" w:cs="宋体"/>
          <w:sz w:val="21"/>
          <w:szCs w:val="21"/>
        </w:rPr>
      </w:pPr>
      <w:r>
        <w:rPr>
          <w:rFonts w:hint="eastAsia" w:ascii="宋体" w:hAnsi="宋体" w:eastAsia="宋体" w:cs="宋体"/>
          <w:sz w:val="21"/>
          <w:szCs w:val="21"/>
        </w:rPr>
        <w:t>（示例）案例1-2证明文件</w:t>
      </w: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4"/>
        <w:numPr>
          <w:ilvl w:val="1"/>
          <w:numId w:val="45"/>
        </w:numPr>
        <w:adjustRightInd/>
        <w:spacing w:before="260" w:after="260" w:line="413" w:lineRule="auto"/>
        <w:ind w:left="575"/>
        <w:jc w:val="both"/>
        <w:textAlignment w:val="auto"/>
        <w:rPr>
          <w:rFonts w:hint="eastAsia" w:ascii="宋体" w:hAnsi="宋体" w:eastAsia="宋体" w:cs="宋体"/>
          <w:bCs/>
          <w:sz w:val="22"/>
          <w:szCs w:val="22"/>
        </w:rPr>
      </w:pPr>
      <w:bookmarkStart w:id="32" w:name="_Toc18097"/>
      <w:r>
        <w:rPr>
          <w:rFonts w:hint="eastAsia" w:ascii="宋体" w:hAnsi="宋体" w:eastAsia="宋体" w:cs="宋体"/>
          <w:kern w:val="2"/>
          <w:sz w:val="22"/>
          <w:szCs w:val="22"/>
        </w:rPr>
        <w:t>其他证明材料</w:t>
      </w:r>
      <w:bookmarkEnd w:id="32"/>
    </w:p>
    <w:p>
      <w:pPr>
        <w:pStyle w:val="10"/>
        <w:widowControl w:val="0"/>
        <w:spacing w:line="360" w:lineRule="auto"/>
        <w:jc w:val="both"/>
        <w:rPr>
          <w:rFonts w:hint="eastAsia" w:ascii="宋体" w:hAnsi="宋体" w:eastAsia="宋体" w:cs="宋体"/>
          <w:sz w:val="21"/>
          <w:szCs w:val="21"/>
          <w:u w:val="single"/>
        </w:rPr>
      </w:pPr>
      <w:r>
        <w:rPr>
          <w:rFonts w:hint="eastAsia" w:ascii="宋体" w:hAnsi="宋体" w:eastAsia="宋体" w:cs="宋体"/>
          <w:b/>
          <w:bCs/>
          <w:sz w:val="21"/>
          <w:szCs w:val="21"/>
        </w:rPr>
        <w:t>注：投标人根据招标文件合格投标人基本资质要求和《评标办法》的评审内容，提供其他证明材料。如招标文件合格投标人基本资质条件和《评标办法》的评审内容中未要求其他证明材料，则可不提供。</w:t>
      </w:r>
    </w:p>
    <w:p>
      <w:pPr>
        <w:pStyle w:val="2"/>
        <w:rPr>
          <w:rFonts w:hint="eastAsia" w:ascii="宋体" w:hAnsi="宋体" w:eastAsia="宋体" w:cs="宋体"/>
          <w:b/>
          <w:bCs/>
          <w:kern w:val="0"/>
          <w:sz w:val="21"/>
          <w:szCs w:val="21"/>
          <w:lang w:eastAsia="zh-Hans"/>
        </w:rPr>
      </w:pPr>
    </w:p>
    <w:p>
      <w:pPr>
        <w:pStyle w:val="2"/>
        <w:rPr>
          <w:rFonts w:hint="eastAsia" w:ascii="宋体" w:hAnsi="宋体" w:eastAsia="宋体" w:cs="宋体"/>
          <w:b/>
          <w:bCs/>
          <w:kern w:val="0"/>
          <w:sz w:val="21"/>
          <w:szCs w:val="21"/>
          <w:lang w:eastAsia="zh-Hans"/>
        </w:r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33" w:name="_Toc24101"/>
      <w:bookmarkStart w:id="34" w:name="_Toc30333969"/>
      <w:bookmarkStart w:id="35" w:name="_Toc27354"/>
      <w:r>
        <w:rPr>
          <w:rFonts w:hint="eastAsia" w:ascii="宋体" w:hAnsi="宋体" w:eastAsia="宋体" w:cs="宋体"/>
          <w:sz w:val="22"/>
          <w:szCs w:val="22"/>
        </w:rPr>
        <w:t>近三年财务状况及财务报告</w:t>
      </w:r>
      <w:bookmarkEnd w:id="33"/>
      <w:bookmarkEnd w:id="34"/>
      <w:bookmarkEnd w:id="35"/>
    </w:p>
    <w:p>
      <w:pPr>
        <w:pStyle w:val="5"/>
        <w:numPr>
          <w:ilvl w:val="2"/>
          <w:numId w:val="45"/>
        </w:numPr>
        <w:tabs>
          <w:tab w:val="left" w:pos="420"/>
          <w:tab w:val="left" w:pos="1555"/>
        </w:tabs>
        <w:ind w:left="720"/>
        <w:rPr>
          <w:rFonts w:hint="eastAsia" w:ascii="宋体" w:hAnsi="宋体" w:eastAsia="宋体" w:cs="宋体"/>
          <w:sz w:val="21"/>
          <w:szCs w:val="21"/>
        </w:rPr>
      </w:pPr>
      <w:bookmarkStart w:id="36" w:name="_Toc18010"/>
      <w:bookmarkStart w:id="37" w:name="_Toc30333970"/>
      <w:bookmarkStart w:id="38" w:name="_Toc24976"/>
      <w:r>
        <w:rPr>
          <w:rFonts w:hint="eastAsia" w:ascii="宋体" w:hAnsi="宋体" w:eastAsia="宋体" w:cs="宋体"/>
          <w:sz w:val="21"/>
          <w:szCs w:val="21"/>
        </w:rPr>
        <w:t>近三年财务状况</w:t>
      </w:r>
      <w:bookmarkEnd w:id="36"/>
      <w:bookmarkEnd w:id="37"/>
      <w:bookmarkEnd w:id="38"/>
    </w:p>
    <w:p>
      <w:pPr>
        <w:ind w:right="2"/>
        <w:jc w:val="right"/>
        <w:rPr>
          <w:rFonts w:hint="eastAsia" w:ascii="宋体" w:hAnsi="宋体" w:eastAsia="宋体" w:cs="宋体"/>
          <w:b/>
          <w:sz w:val="21"/>
          <w:szCs w:val="21"/>
        </w:rPr>
      </w:pPr>
      <w:r>
        <w:rPr>
          <w:rFonts w:hint="eastAsia" w:ascii="宋体" w:hAnsi="宋体" w:eastAsia="宋体" w:cs="宋体"/>
          <w:bCs/>
          <w:sz w:val="21"/>
          <w:szCs w:val="21"/>
        </w:rPr>
        <w:t>单位：万元</w:t>
      </w:r>
    </w:p>
    <w:tbl>
      <w:tblPr>
        <w:tblStyle w:val="12"/>
        <w:tblW w:w="8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410"/>
        <w:gridCol w:w="1425"/>
        <w:gridCol w:w="1455"/>
        <w:gridCol w:w="148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1098"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年份</w:t>
            </w:r>
          </w:p>
        </w:tc>
        <w:tc>
          <w:tcPr>
            <w:tcW w:w="1410"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总资产</w:t>
            </w:r>
          </w:p>
        </w:tc>
        <w:tc>
          <w:tcPr>
            <w:tcW w:w="142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净资产</w:t>
            </w:r>
          </w:p>
        </w:tc>
        <w:tc>
          <w:tcPr>
            <w:tcW w:w="145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营业收入</w:t>
            </w:r>
          </w:p>
        </w:tc>
        <w:tc>
          <w:tcPr>
            <w:tcW w:w="148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营业利润</w:t>
            </w:r>
          </w:p>
        </w:tc>
        <w:tc>
          <w:tcPr>
            <w:tcW w:w="1336"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1098"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20XX年</w:t>
            </w:r>
          </w:p>
        </w:tc>
        <w:tc>
          <w:tcPr>
            <w:tcW w:w="1410"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2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5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8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336"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1098"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20XX年</w:t>
            </w:r>
          </w:p>
        </w:tc>
        <w:tc>
          <w:tcPr>
            <w:tcW w:w="1410"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2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5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8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336"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1098"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20XX年</w:t>
            </w:r>
          </w:p>
        </w:tc>
        <w:tc>
          <w:tcPr>
            <w:tcW w:w="1410"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2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5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485"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c>
          <w:tcPr>
            <w:tcW w:w="1336" w:type="dxa"/>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cs="宋体"/>
                <w:sz w:val="21"/>
                <w:szCs w:val="21"/>
              </w:rPr>
            </w:pPr>
          </w:p>
        </w:tc>
      </w:tr>
    </w:tbl>
    <w:p>
      <w:pPr>
        <w:ind w:right="2"/>
        <w:rPr>
          <w:rFonts w:hint="eastAsia" w:ascii="宋体" w:hAnsi="宋体" w:eastAsia="宋体" w:cs="宋体"/>
          <w:sz w:val="21"/>
          <w:szCs w:val="21"/>
        </w:rPr>
      </w:pPr>
    </w:p>
    <w:p>
      <w:pPr>
        <w:ind w:right="2"/>
        <w:rPr>
          <w:rFonts w:hint="eastAsia" w:ascii="宋体" w:hAnsi="宋体" w:eastAsia="宋体" w:cs="宋体"/>
          <w:sz w:val="21"/>
          <w:szCs w:val="21"/>
        </w:rPr>
      </w:pPr>
    </w:p>
    <w:p>
      <w:pPr>
        <w:pStyle w:val="8"/>
        <w:spacing w:before="120" w:line="360" w:lineRule="auto"/>
        <w:rPr>
          <w:rFonts w:hint="eastAsia" w:ascii="宋体" w:hAnsi="宋体" w:eastAsia="宋体" w:cs="宋体"/>
          <w:sz w:val="21"/>
          <w:szCs w:val="21"/>
        </w:rPr>
      </w:pPr>
      <w:r>
        <w:rPr>
          <w:rFonts w:hint="eastAsia" w:ascii="宋体" w:hAnsi="宋体" w:eastAsia="宋体" w:cs="宋体"/>
          <w:sz w:val="21"/>
          <w:szCs w:val="21"/>
        </w:rPr>
        <w:t>投标人名称（公章）：</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日期：</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pStyle w:val="10"/>
        <w:rPr>
          <w:rFonts w:hint="eastAsia" w:ascii="宋体" w:hAnsi="宋体" w:eastAsia="宋体" w:cs="宋体"/>
          <w:sz w:val="21"/>
          <w:szCs w:val="21"/>
        </w:rPr>
      </w:pPr>
    </w:p>
    <w:p>
      <w:pPr>
        <w:pStyle w:val="10"/>
        <w:spacing w:line="360" w:lineRule="auto"/>
        <w:rPr>
          <w:rFonts w:hint="eastAsia" w:ascii="宋体" w:hAnsi="宋体" w:eastAsia="宋体" w:cs="宋体"/>
          <w:sz w:val="21"/>
          <w:szCs w:val="21"/>
        </w:rPr>
      </w:pPr>
      <w:r>
        <w:rPr>
          <w:rFonts w:hint="eastAsia" w:ascii="宋体" w:hAnsi="宋体" w:eastAsia="宋体" w:cs="宋体"/>
          <w:sz w:val="21"/>
          <w:szCs w:val="21"/>
        </w:rPr>
        <w:t>注：原则上，投标人需提供</w:t>
      </w:r>
      <w:r>
        <w:rPr>
          <w:rFonts w:hint="eastAsia" w:ascii="宋体" w:hAnsi="宋体" w:eastAsia="宋体" w:cs="宋体"/>
          <w:sz w:val="21"/>
          <w:szCs w:val="21"/>
          <w:lang w:eastAsia="zh-Hans"/>
        </w:rPr>
        <w:t>近三年</w:t>
      </w:r>
      <w:r>
        <w:rPr>
          <w:rFonts w:hint="eastAsia" w:ascii="宋体" w:hAnsi="宋体" w:eastAsia="宋体" w:cs="宋体"/>
          <w:sz w:val="21"/>
          <w:szCs w:val="21"/>
        </w:rPr>
        <w:t>度经第三方审计盖章的财务报表（财务报表至少包括资产负债表，利润表、现金流量表，复印件清晰）。如未编制完成2020年财务报表的，可提供2017年财务报表，不提供2020年财务报表。</w:t>
      </w:r>
    </w:p>
    <w:p>
      <w:pPr>
        <w:pStyle w:val="10"/>
        <w:spacing w:line="360" w:lineRule="auto"/>
        <w:rPr>
          <w:rFonts w:hint="eastAsia" w:ascii="宋体" w:hAnsi="宋体" w:eastAsia="宋体" w:cs="宋体"/>
          <w:sz w:val="21"/>
          <w:szCs w:val="21"/>
        </w:rPr>
      </w:pPr>
      <w:r>
        <w:rPr>
          <w:rFonts w:hint="eastAsia" w:ascii="宋体" w:hAnsi="宋体" w:eastAsia="宋体" w:cs="宋体"/>
          <w:sz w:val="21"/>
          <w:szCs w:val="21"/>
        </w:rPr>
        <w:t>如投标人未按照此要求提供证明文件，评标委员会将根据第三章《评标办法》的相关要求酌情评分。</w:t>
      </w:r>
    </w:p>
    <w:p>
      <w:pPr>
        <w:pStyle w:val="10"/>
        <w:spacing w:line="360" w:lineRule="auto"/>
        <w:rPr>
          <w:rFonts w:hint="eastAsia" w:ascii="宋体" w:hAnsi="宋体" w:eastAsia="宋体" w:cs="宋体"/>
          <w:sz w:val="21"/>
          <w:szCs w:val="21"/>
        </w:rPr>
      </w:pPr>
    </w:p>
    <w:p>
      <w:pPr>
        <w:pStyle w:val="10"/>
        <w:spacing w:line="360" w:lineRule="auto"/>
        <w:rPr>
          <w:rFonts w:hint="eastAsia" w:ascii="宋体" w:hAnsi="宋体" w:eastAsia="宋体" w:cs="宋体"/>
          <w:sz w:val="21"/>
          <w:szCs w:val="21"/>
        </w:rPr>
      </w:pPr>
    </w:p>
    <w:p>
      <w:pPr>
        <w:pStyle w:val="10"/>
        <w:spacing w:line="360" w:lineRule="auto"/>
        <w:rPr>
          <w:rFonts w:hint="eastAsia" w:ascii="宋体" w:hAnsi="宋体" w:eastAsia="宋体" w:cs="宋体"/>
          <w:sz w:val="21"/>
          <w:szCs w:val="21"/>
        </w:rPr>
      </w:pPr>
    </w:p>
    <w:p>
      <w:pPr>
        <w:pStyle w:val="10"/>
        <w:spacing w:line="360" w:lineRule="auto"/>
        <w:rPr>
          <w:rFonts w:hint="eastAsia" w:ascii="宋体" w:hAnsi="宋体" w:eastAsia="宋体" w:cs="宋体"/>
          <w:sz w:val="21"/>
          <w:szCs w:val="21"/>
        </w:rPr>
      </w:pPr>
    </w:p>
    <w:p>
      <w:pPr>
        <w:pStyle w:val="4"/>
        <w:numPr>
          <w:ilvl w:val="1"/>
          <w:numId w:val="45"/>
        </w:numPr>
        <w:adjustRightInd/>
        <w:spacing w:before="260" w:after="260" w:line="412" w:lineRule="auto"/>
        <w:ind w:left="575"/>
        <w:jc w:val="both"/>
        <w:textAlignment w:val="auto"/>
        <w:rPr>
          <w:rFonts w:hint="eastAsia" w:ascii="宋体" w:hAnsi="宋体" w:eastAsia="宋体" w:cs="宋体"/>
          <w:sz w:val="22"/>
          <w:szCs w:val="22"/>
        </w:rPr>
      </w:pPr>
      <w:bookmarkStart w:id="39" w:name="_Toc30333985"/>
      <w:bookmarkStart w:id="40" w:name="_Toc1941"/>
      <w:bookmarkStart w:id="41" w:name="_Toc14384"/>
      <w:r>
        <w:rPr>
          <w:rFonts w:hint="eastAsia" w:ascii="宋体" w:hAnsi="宋体" w:eastAsia="宋体" w:cs="宋体"/>
          <w:sz w:val="22"/>
          <w:szCs w:val="22"/>
        </w:rPr>
        <w:t>服务团队</w:t>
      </w:r>
      <w:bookmarkEnd w:id="39"/>
      <w:bookmarkEnd w:id="40"/>
      <w:bookmarkEnd w:id="41"/>
    </w:p>
    <w:tbl>
      <w:tblPr>
        <w:tblStyle w:val="12"/>
        <w:tblW w:w="8456" w:type="dxa"/>
        <w:jc w:val="center"/>
        <w:tblLayout w:type="fixed"/>
        <w:tblCellMar>
          <w:top w:w="0" w:type="dxa"/>
          <w:left w:w="108" w:type="dxa"/>
          <w:bottom w:w="0" w:type="dxa"/>
          <w:right w:w="108" w:type="dxa"/>
        </w:tblCellMar>
      </w:tblPr>
      <w:tblGrid>
        <w:gridCol w:w="438"/>
        <w:gridCol w:w="981"/>
        <w:gridCol w:w="681"/>
        <w:gridCol w:w="1156"/>
        <w:gridCol w:w="932"/>
        <w:gridCol w:w="2550"/>
        <w:gridCol w:w="1718"/>
      </w:tblGrid>
      <w:tr>
        <w:trPr>
          <w:trHeight w:val="789"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1"/>
                <w:szCs w:val="21"/>
                <w:lang w:val="zh-CN"/>
              </w:rPr>
            </w:pPr>
            <w:bookmarkStart w:id="42" w:name="_Hlk5019701"/>
            <w:r>
              <w:rPr>
                <w:rFonts w:hint="eastAsia" w:ascii="宋体" w:hAnsi="宋体" w:eastAsia="宋体" w:cs="宋体"/>
                <w:b/>
                <w:sz w:val="21"/>
                <w:szCs w:val="21"/>
                <w:lang w:val="zh-CN"/>
              </w:rPr>
              <w:t>序号</w:t>
            </w: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姓 名</w:t>
            </w: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年龄</w:t>
            </w: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学历</w:t>
            </w: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资质认证</w:t>
            </w: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工作经验和专长</w:t>
            </w: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sz w:val="21"/>
                <w:szCs w:val="21"/>
                <w:lang w:val="zh-CN"/>
              </w:rPr>
            </w:pPr>
            <w:r>
              <w:rPr>
                <w:rFonts w:hint="eastAsia" w:ascii="宋体" w:hAnsi="宋体" w:eastAsia="宋体" w:cs="宋体"/>
                <w:b/>
                <w:sz w:val="21"/>
                <w:szCs w:val="21"/>
                <w:lang w:val="zh-CN"/>
              </w:rPr>
              <w:t>本项目承担的相应责任</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rPr>
              <w:t>张XX</w:t>
            </w: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硕士</w:t>
            </w:r>
          </w:p>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研究生</w:t>
            </w: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项目主管人员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王XX</w:t>
            </w: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博士</w:t>
            </w:r>
          </w:p>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研究生</w:t>
            </w: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日常运营人员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李XX</w:t>
            </w: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XX</w:t>
            </w: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本科</w:t>
            </w:r>
          </w:p>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学士学位</w:t>
            </w: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工作XX年，从事XXXX工作XX年，参与的类似项目有XXXX</w:t>
            </w: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客服人员</w:t>
            </w: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tr>
        <w:trPr>
          <w:trHeight w:val="460" w:hRule="atLeast"/>
          <w:jc w:val="center"/>
        </w:trPr>
        <w:tc>
          <w:tcPr>
            <w:tcW w:w="43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9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68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1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93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c>
          <w:tcPr>
            <w:tcW w:w="2550"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rPr>
            </w:pPr>
          </w:p>
        </w:tc>
        <w:tc>
          <w:tcPr>
            <w:tcW w:w="1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Cs/>
                <w:sz w:val="21"/>
                <w:szCs w:val="21"/>
                <w:lang w:val="zh-CN"/>
              </w:rPr>
            </w:pPr>
          </w:p>
        </w:tc>
      </w:tr>
      <w:bookmarkEnd w:id="42"/>
    </w:tbl>
    <w:p>
      <w:pPr>
        <w:pStyle w:val="9"/>
        <w:spacing w:line="360" w:lineRule="auto"/>
        <w:rPr>
          <w:rFonts w:hint="eastAsia" w:ascii="宋体" w:hAnsi="宋体" w:eastAsia="宋体" w:cs="宋体"/>
          <w:sz w:val="21"/>
          <w:szCs w:val="21"/>
        </w:rPr>
      </w:pPr>
      <w:r>
        <w:rPr>
          <w:rFonts w:hint="eastAsia" w:ascii="宋体" w:hAnsi="宋体" w:eastAsia="宋体" w:cs="宋体"/>
          <w:sz w:val="21"/>
          <w:szCs w:val="21"/>
        </w:rPr>
        <w:t>我方承诺：我方提供的上述项目团队人员的全部信息及证明文件真实、有效。</w:t>
      </w:r>
    </w:p>
    <w:p>
      <w:pPr>
        <w:rPr>
          <w:rFonts w:hint="eastAsia" w:ascii="宋体" w:hAnsi="宋体" w:eastAsia="宋体" w:cs="宋体"/>
          <w:sz w:val="21"/>
          <w:szCs w:val="21"/>
        </w:rPr>
      </w:pPr>
    </w:p>
    <w:p>
      <w:pPr>
        <w:pStyle w:val="8"/>
        <w:spacing w:before="120" w:line="360" w:lineRule="auto"/>
        <w:rPr>
          <w:rFonts w:hint="eastAsia" w:ascii="宋体" w:hAnsi="宋体" w:eastAsia="宋体" w:cs="宋体"/>
          <w:sz w:val="21"/>
          <w:szCs w:val="21"/>
        </w:rPr>
      </w:pPr>
      <w:r>
        <w:rPr>
          <w:rFonts w:hint="eastAsia" w:ascii="宋体" w:hAnsi="宋体" w:eastAsia="宋体" w:cs="宋体"/>
          <w:sz w:val="21"/>
          <w:szCs w:val="21"/>
        </w:rPr>
        <w:t>投标人名称（公章）：</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日期：</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pStyle w:val="10"/>
        <w:spacing w:line="360" w:lineRule="auto"/>
        <w:rPr>
          <w:rFonts w:hint="eastAsia" w:ascii="宋体" w:hAnsi="宋体" w:eastAsia="宋体" w:cs="宋体"/>
          <w:sz w:val="21"/>
          <w:szCs w:val="21"/>
        </w:rPr>
      </w:pPr>
    </w:p>
    <w:p>
      <w:pPr>
        <w:pStyle w:val="14"/>
        <w:rPr>
          <w:rFonts w:hint="default" w:ascii="宋体" w:hAnsi="宋体" w:eastAsia="宋体" w:cs="宋体"/>
          <w:sz w:val="21"/>
          <w:szCs w:val="21"/>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长城仿宋">
    <w:altName w:val="方正仿宋_GBK"/>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A8134"/>
    <w:multiLevelType w:val="multilevel"/>
    <w:tmpl w:val="5D2A8134"/>
    <w:lvl w:ilvl="0" w:tentative="0">
      <w:start w:val="1"/>
      <w:numFmt w:val="decimal"/>
      <w:lvlText w:val="%1."/>
      <w:lvlJc w:val="left"/>
      <w:pPr>
        <w:ind w:left="1567" w:hanging="432"/>
      </w:pPr>
    </w:lvl>
    <w:lvl w:ilvl="1" w:tentative="0">
      <w:start w:val="1"/>
      <w:numFmt w:val="decimal"/>
      <w:lvlText w:val="%1.%2."/>
      <w:lvlJc w:val="left"/>
      <w:pPr>
        <w:ind w:left="1710" w:hanging="575"/>
      </w:pPr>
    </w:lvl>
    <w:lvl w:ilvl="2" w:tentative="0">
      <w:start w:val="1"/>
      <w:numFmt w:val="decimal"/>
      <w:suff w:val="space"/>
      <w:lvlText w:val="%1.%2.%3."/>
      <w:lvlJc w:val="left"/>
      <w:pPr>
        <w:tabs>
          <w:tab w:val="left" w:pos="2546"/>
        </w:tabs>
        <w:ind w:left="2846" w:hanging="720"/>
      </w:pPr>
    </w:lvl>
    <w:lvl w:ilvl="3" w:tentative="0">
      <w:start w:val="1"/>
      <w:numFmt w:val="decimal"/>
      <w:lvlText w:val="%1.%2.%3.%4."/>
      <w:lvlJc w:val="left"/>
      <w:pPr>
        <w:ind w:left="1999" w:hanging="864"/>
      </w:pPr>
    </w:lvl>
    <w:lvl w:ilvl="4" w:tentative="0">
      <w:start w:val="1"/>
      <w:numFmt w:val="decimal"/>
      <w:lvlText w:val="%1.%2.%3.%4.%5."/>
      <w:lvlJc w:val="left"/>
      <w:pPr>
        <w:ind w:left="2143" w:hanging="1008"/>
      </w:pPr>
    </w:lvl>
    <w:lvl w:ilvl="5" w:tentative="0">
      <w:start w:val="1"/>
      <w:numFmt w:val="decimal"/>
      <w:lvlText w:val="%1.%2.%3.%4.%5.%6."/>
      <w:lvlJc w:val="left"/>
      <w:pPr>
        <w:ind w:left="2286" w:hanging="1151"/>
      </w:pPr>
    </w:lvl>
    <w:lvl w:ilvl="6" w:tentative="0">
      <w:start w:val="1"/>
      <w:numFmt w:val="decimal"/>
      <w:lvlText w:val="%1.%2.%3.%4.%5.%6.%7."/>
      <w:lvlJc w:val="left"/>
      <w:pPr>
        <w:ind w:left="2431" w:hanging="1296"/>
      </w:pPr>
    </w:lvl>
    <w:lvl w:ilvl="7" w:tentative="0">
      <w:start w:val="1"/>
      <w:numFmt w:val="decimal"/>
      <w:lvlText w:val="%1.%2.%3.%4.%5.%6.%7.%8."/>
      <w:lvlJc w:val="left"/>
      <w:pPr>
        <w:ind w:left="2575" w:hanging="1440"/>
      </w:pPr>
    </w:lvl>
    <w:lvl w:ilvl="8" w:tentative="0">
      <w:start w:val="1"/>
      <w:numFmt w:val="decimal"/>
      <w:lvlText w:val="%1.%2.%3.%4.%5.%6.%7.%8.%9."/>
      <w:lvlJc w:val="left"/>
      <w:pPr>
        <w:ind w:left="2718" w:hanging="1583"/>
      </w:pPr>
    </w:lvl>
  </w:abstractNum>
  <w:abstractNum w:abstractNumId="1">
    <w:nsid w:val="5EB6221C"/>
    <w:multiLevelType w:val="singleLevel"/>
    <w:tmpl w:val="5EB6221C"/>
    <w:lvl w:ilvl="0" w:tentative="0">
      <w:start w:val="1"/>
      <w:numFmt w:val="chineseCounting"/>
      <w:suff w:val="nothing"/>
      <w:lvlText w:val="%1、"/>
      <w:lvlJc w:val="left"/>
      <w:pPr>
        <w:ind w:left="0" w:firstLine="420"/>
      </w:pPr>
      <w:rPr>
        <w:rFonts w:hint="eastAsia"/>
      </w:rPr>
    </w:lvl>
  </w:abstractNum>
  <w:abstractNum w:abstractNumId="2">
    <w:nsid w:val="604F3530"/>
    <w:multiLevelType w:val="singleLevel"/>
    <w:tmpl w:val="604F3530"/>
    <w:lvl w:ilvl="0" w:tentative="0">
      <w:start w:val="1"/>
      <w:numFmt w:val="decimal"/>
      <w:suff w:val="nothing"/>
      <w:lvlText w:val="%1．"/>
      <w:lvlJc w:val="left"/>
      <w:pPr>
        <w:ind w:left="0" w:firstLine="400"/>
      </w:pPr>
      <w:rPr>
        <w:rFonts w:hint="default"/>
      </w:rPr>
    </w:lvl>
  </w:abstractNum>
  <w:abstractNum w:abstractNumId="3">
    <w:nsid w:val="604F383A"/>
    <w:multiLevelType w:val="singleLevel"/>
    <w:tmpl w:val="604F383A"/>
    <w:lvl w:ilvl="0" w:tentative="0">
      <w:start w:val="1"/>
      <w:numFmt w:val="decimal"/>
      <w:suff w:val="nothing"/>
      <w:lvlText w:val="%1．"/>
      <w:lvlJc w:val="left"/>
      <w:pPr>
        <w:ind w:left="0" w:firstLine="400"/>
      </w:pPr>
      <w:rPr>
        <w:rFonts w:hint="default"/>
      </w:rPr>
    </w:lvl>
  </w:abstractNum>
  <w:abstractNum w:abstractNumId="4">
    <w:nsid w:val="604F38A8"/>
    <w:multiLevelType w:val="singleLevel"/>
    <w:tmpl w:val="604F38A8"/>
    <w:lvl w:ilvl="0" w:tentative="0">
      <w:start w:val="1"/>
      <w:numFmt w:val="decimal"/>
      <w:suff w:val="nothing"/>
      <w:lvlText w:val="%1．"/>
      <w:lvlJc w:val="left"/>
      <w:pPr>
        <w:ind w:left="0" w:firstLine="400"/>
      </w:pPr>
      <w:rPr>
        <w:rFonts w:hint="default"/>
      </w:rPr>
    </w:lvl>
  </w:abstractNum>
  <w:abstractNum w:abstractNumId="5">
    <w:nsid w:val="604F4589"/>
    <w:multiLevelType w:val="singleLevel"/>
    <w:tmpl w:val="604F4589"/>
    <w:lvl w:ilvl="0" w:tentative="0">
      <w:start w:val="1"/>
      <w:numFmt w:val="decimal"/>
      <w:suff w:val="nothing"/>
      <w:lvlText w:val="%1．"/>
      <w:lvlJc w:val="left"/>
      <w:pPr>
        <w:ind w:left="0" w:firstLine="400"/>
      </w:pPr>
      <w:rPr>
        <w:rFonts w:hint="default"/>
      </w:rPr>
    </w:lvl>
  </w:abstractNum>
  <w:abstractNum w:abstractNumId="6">
    <w:nsid w:val="604F45A0"/>
    <w:multiLevelType w:val="singleLevel"/>
    <w:tmpl w:val="604F45A0"/>
    <w:lvl w:ilvl="0" w:tentative="0">
      <w:start w:val="1"/>
      <w:numFmt w:val="decimal"/>
      <w:suff w:val="nothing"/>
      <w:lvlText w:val="%1．"/>
      <w:lvlJc w:val="left"/>
      <w:pPr>
        <w:ind w:left="0" w:firstLine="400"/>
      </w:pPr>
      <w:rPr>
        <w:rFonts w:hint="default"/>
      </w:rPr>
    </w:lvl>
  </w:abstractNum>
  <w:abstractNum w:abstractNumId="7">
    <w:nsid w:val="604F45E4"/>
    <w:multiLevelType w:val="singleLevel"/>
    <w:tmpl w:val="604F45E4"/>
    <w:lvl w:ilvl="0" w:tentative="0">
      <w:start w:val="1"/>
      <w:numFmt w:val="decimal"/>
      <w:lvlText w:val="%1)"/>
      <w:lvlJc w:val="left"/>
      <w:pPr>
        <w:ind w:left="425" w:hanging="425"/>
      </w:pPr>
      <w:rPr>
        <w:rFonts w:hint="default"/>
      </w:rPr>
    </w:lvl>
  </w:abstractNum>
  <w:abstractNum w:abstractNumId="8">
    <w:nsid w:val="604F4600"/>
    <w:multiLevelType w:val="singleLevel"/>
    <w:tmpl w:val="604F4600"/>
    <w:lvl w:ilvl="0" w:tentative="0">
      <w:start w:val="1"/>
      <w:numFmt w:val="decimal"/>
      <w:lvlText w:val="%1)"/>
      <w:lvlJc w:val="left"/>
      <w:pPr>
        <w:ind w:left="425" w:hanging="425"/>
      </w:pPr>
      <w:rPr>
        <w:rFonts w:hint="default"/>
      </w:rPr>
    </w:lvl>
  </w:abstractNum>
  <w:abstractNum w:abstractNumId="9">
    <w:nsid w:val="604F4624"/>
    <w:multiLevelType w:val="singleLevel"/>
    <w:tmpl w:val="604F4624"/>
    <w:lvl w:ilvl="0" w:tentative="0">
      <w:start w:val="1"/>
      <w:numFmt w:val="decimal"/>
      <w:lvlText w:val="%1)"/>
      <w:lvlJc w:val="left"/>
      <w:pPr>
        <w:ind w:left="425" w:hanging="425"/>
      </w:pPr>
      <w:rPr>
        <w:rFonts w:hint="default"/>
      </w:rPr>
    </w:lvl>
  </w:abstractNum>
  <w:abstractNum w:abstractNumId="10">
    <w:nsid w:val="604F463A"/>
    <w:multiLevelType w:val="singleLevel"/>
    <w:tmpl w:val="604F463A"/>
    <w:lvl w:ilvl="0" w:tentative="0">
      <w:start w:val="1"/>
      <w:numFmt w:val="decimal"/>
      <w:lvlText w:val="%1)"/>
      <w:lvlJc w:val="left"/>
      <w:pPr>
        <w:ind w:left="425" w:hanging="425"/>
      </w:pPr>
      <w:rPr>
        <w:rFonts w:hint="default"/>
      </w:rPr>
    </w:lvl>
  </w:abstractNum>
  <w:abstractNum w:abstractNumId="11">
    <w:nsid w:val="604F464D"/>
    <w:multiLevelType w:val="singleLevel"/>
    <w:tmpl w:val="604F464D"/>
    <w:lvl w:ilvl="0" w:tentative="0">
      <w:start w:val="1"/>
      <w:numFmt w:val="decimal"/>
      <w:lvlText w:val="%1)"/>
      <w:lvlJc w:val="left"/>
      <w:pPr>
        <w:ind w:left="425" w:hanging="425"/>
      </w:pPr>
      <w:rPr>
        <w:rFonts w:hint="default"/>
      </w:rPr>
    </w:lvl>
  </w:abstractNum>
  <w:abstractNum w:abstractNumId="12">
    <w:nsid w:val="604F465F"/>
    <w:multiLevelType w:val="singleLevel"/>
    <w:tmpl w:val="604F465F"/>
    <w:lvl w:ilvl="0" w:tentative="0">
      <w:start w:val="1"/>
      <w:numFmt w:val="decimal"/>
      <w:lvlText w:val="%1)"/>
      <w:lvlJc w:val="left"/>
      <w:pPr>
        <w:ind w:left="425" w:hanging="425"/>
      </w:pPr>
      <w:rPr>
        <w:rFonts w:hint="default"/>
      </w:rPr>
    </w:lvl>
  </w:abstractNum>
  <w:abstractNum w:abstractNumId="13">
    <w:nsid w:val="604F4674"/>
    <w:multiLevelType w:val="singleLevel"/>
    <w:tmpl w:val="604F4674"/>
    <w:lvl w:ilvl="0" w:tentative="0">
      <w:start w:val="1"/>
      <w:numFmt w:val="decimal"/>
      <w:lvlText w:val="%1)"/>
      <w:lvlJc w:val="left"/>
      <w:pPr>
        <w:ind w:left="425" w:hanging="425"/>
      </w:pPr>
      <w:rPr>
        <w:rFonts w:hint="default"/>
      </w:rPr>
    </w:lvl>
  </w:abstractNum>
  <w:abstractNum w:abstractNumId="14">
    <w:nsid w:val="604F46AB"/>
    <w:multiLevelType w:val="singleLevel"/>
    <w:tmpl w:val="604F46AB"/>
    <w:lvl w:ilvl="0" w:tentative="0">
      <w:start w:val="1"/>
      <w:numFmt w:val="decimal"/>
      <w:lvlText w:val="%1)"/>
      <w:lvlJc w:val="left"/>
      <w:pPr>
        <w:ind w:left="425" w:hanging="425"/>
      </w:pPr>
      <w:rPr>
        <w:rFonts w:hint="default"/>
      </w:rPr>
    </w:lvl>
  </w:abstractNum>
  <w:abstractNum w:abstractNumId="15">
    <w:nsid w:val="604F46CD"/>
    <w:multiLevelType w:val="singleLevel"/>
    <w:tmpl w:val="604F46CD"/>
    <w:lvl w:ilvl="0" w:tentative="0">
      <w:start w:val="1"/>
      <w:numFmt w:val="decimal"/>
      <w:lvlText w:val="%1)"/>
      <w:lvlJc w:val="left"/>
      <w:pPr>
        <w:ind w:left="425" w:hanging="425"/>
      </w:pPr>
      <w:rPr>
        <w:rFonts w:hint="default"/>
      </w:rPr>
    </w:lvl>
  </w:abstractNum>
  <w:abstractNum w:abstractNumId="16">
    <w:nsid w:val="604F46E1"/>
    <w:multiLevelType w:val="singleLevel"/>
    <w:tmpl w:val="604F46E1"/>
    <w:lvl w:ilvl="0" w:tentative="0">
      <w:start w:val="1"/>
      <w:numFmt w:val="decimal"/>
      <w:lvlText w:val="%1)"/>
      <w:lvlJc w:val="left"/>
      <w:pPr>
        <w:ind w:left="425" w:hanging="425"/>
      </w:pPr>
      <w:rPr>
        <w:rFonts w:hint="default"/>
      </w:rPr>
    </w:lvl>
  </w:abstractNum>
  <w:abstractNum w:abstractNumId="17">
    <w:nsid w:val="604F46F6"/>
    <w:multiLevelType w:val="singleLevel"/>
    <w:tmpl w:val="604F46F6"/>
    <w:lvl w:ilvl="0" w:tentative="0">
      <w:start w:val="1"/>
      <w:numFmt w:val="decimal"/>
      <w:lvlText w:val="%1)"/>
      <w:lvlJc w:val="left"/>
      <w:pPr>
        <w:ind w:left="425" w:hanging="425"/>
      </w:pPr>
      <w:rPr>
        <w:rFonts w:hint="default"/>
      </w:rPr>
    </w:lvl>
  </w:abstractNum>
  <w:abstractNum w:abstractNumId="18">
    <w:nsid w:val="604F4708"/>
    <w:multiLevelType w:val="singleLevel"/>
    <w:tmpl w:val="604F4708"/>
    <w:lvl w:ilvl="0" w:tentative="0">
      <w:start w:val="1"/>
      <w:numFmt w:val="decimal"/>
      <w:lvlText w:val="%1)"/>
      <w:lvlJc w:val="left"/>
      <w:pPr>
        <w:ind w:left="425" w:hanging="425"/>
      </w:pPr>
      <w:rPr>
        <w:rFonts w:hint="default"/>
      </w:rPr>
    </w:lvl>
  </w:abstractNum>
  <w:abstractNum w:abstractNumId="19">
    <w:nsid w:val="604F4724"/>
    <w:multiLevelType w:val="singleLevel"/>
    <w:tmpl w:val="604F4724"/>
    <w:lvl w:ilvl="0" w:tentative="0">
      <w:start w:val="1"/>
      <w:numFmt w:val="decimal"/>
      <w:lvlText w:val="%1)"/>
      <w:lvlJc w:val="left"/>
      <w:pPr>
        <w:ind w:left="425" w:hanging="425"/>
      </w:pPr>
      <w:rPr>
        <w:rFonts w:hint="default"/>
      </w:rPr>
    </w:lvl>
  </w:abstractNum>
  <w:abstractNum w:abstractNumId="20">
    <w:nsid w:val="604F473C"/>
    <w:multiLevelType w:val="singleLevel"/>
    <w:tmpl w:val="604F473C"/>
    <w:lvl w:ilvl="0" w:tentative="0">
      <w:start w:val="1"/>
      <w:numFmt w:val="decimal"/>
      <w:lvlText w:val="%1)"/>
      <w:lvlJc w:val="left"/>
      <w:pPr>
        <w:ind w:left="425" w:hanging="425"/>
      </w:pPr>
      <w:rPr>
        <w:rFonts w:hint="default"/>
      </w:rPr>
    </w:lvl>
  </w:abstractNum>
  <w:abstractNum w:abstractNumId="21">
    <w:nsid w:val="604F474E"/>
    <w:multiLevelType w:val="singleLevel"/>
    <w:tmpl w:val="604F474E"/>
    <w:lvl w:ilvl="0" w:tentative="0">
      <w:start w:val="1"/>
      <w:numFmt w:val="decimal"/>
      <w:lvlText w:val="%1)"/>
      <w:lvlJc w:val="left"/>
      <w:pPr>
        <w:ind w:left="425" w:hanging="425"/>
      </w:pPr>
      <w:rPr>
        <w:rFonts w:hint="default"/>
      </w:rPr>
    </w:lvl>
  </w:abstractNum>
  <w:abstractNum w:abstractNumId="22">
    <w:nsid w:val="604F476B"/>
    <w:multiLevelType w:val="singleLevel"/>
    <w:tmpl w:val="604F476B"/>
    <w:lvl w:ilvl="0" w:tentative="0">
      <w:start w:val="1"/>
      <w:numFmt w:val="decimal"/>
      <w:lvlText w:val="%1)"/>
      <w:lvlJc w:val="left"/>
      <w:pPr>
        <w:ind w:left="425" w:hanging="425"/>
      </w:pPr>
      <w:rPr>
        <w:rFonts w:hint="default"/>
      </w:rPr>
    </w:lvl>
  </w:abstractNum>
  <w:abstractNum w:abstractNumId="23">
    <w:nsid w:val="604F4780"/>
    <w:multiLevelType w:val="singleLevel"/>
    <w:tmpl w:val="604F4780"/>
    <w:lvl w:ilvl="0" w:tentative="0">
      <w:start w:val="1"/>
      <w:numFmt w:val="decimal"/>
      <w:lvlText w:val="%1)"/>
      <w:lvlJc w:val="left"/>
      <w:pPr>
        <w:ind w:left="425" w:hanging="425"/>
      </w:pPr>
      <w:rPr>
        <w:rFonts w:hint="default"/>
      </w:rPr>
    </w:lvl>
  </w:abstractNum>
  <w:abstractNum w:abstractNumId="24">
    <w:nsid w:val="604F4794"/>
    <w:multiLevelType w:val="singleLevel"/>
    <w:tmpl w:val="604F4794"/>
    <w:lvl w:ilvl="0" w:tentative="0">
      <w:start w:val="1"/>
      <w:numFmt w:val="decimal"/>
      <w:lvlText w:val="%1)"/>
      <w:lvlJc w:val="left"/>
      <w:pPr>
        <w:ind w:left="425" w:hanging="425"/>
      </w:pPr>
      <w:rPr>
        <w:rFonts w:hint="default"/>
      </w:rPr>
    </w:lvl>
  </w:abstractNum>
  <w:abstractNum w:abstractNumId="25">
    <w:nsid w:val="604F47BE"/>
    <w:multiLevelType w:val="singleLevel"/>
    <w:tmpl w:val="604F47BE"/>
    <w:lvl w:ilvl="0" w:tentative="0">
      <w:start w:val="1"/>
      <w:numFmt w:val="decimal"/>
      <w:lvlText w:val="%1)"/>
      <w:lvlJc w:val="left"/>
      <w:pPr>
        <w:ind w:left="425" w:hanging="425"/>
      </w:pPr>
      <w:rPr>
        <w:rFonts w:hint="default"/>
      </w:rPr>
    </w:lvl>
  </w:abstractNum>
  <w:abstractNum w:abstractNumId="26">
    <w:nsid w:val="604F47CF"/>
    <w:multiLevelType w:val="singleLevel"/>
    <w:tmpl w:val="604F47CF"/>
    <w:lvl w:ilvl="0" w:tentative="0">
      <w:start w:val="1"/>
      <w:numFmt w:val="decimal"/>
      <w:lvlText w:val="%1)"/>
      <w:lvlJc w:val="left"/>
      <w:pPr>
        <w:ind w:left="425" w:hanging="425"/>
      </w:pPr>
      <w:rPr>
        <w:rFonts w:hint="default"/>
      </w:rPr>
    </w:lvl>
  </w:abstractNum>
  <w:abstractNum w:abstractNumId="27">
    <w:nsid w:val="604F47E0"/>
    <w:multiLevelType w:val="singleLevel"/>
    <w:tmpl w:val="604F47E0"/>
    <w:lvl w:ilvl="0" w:tentative="0">
      <w:start w:val="1"/>
      <w:numFmt w:val="decimal"/>
      <w:lvlText w:val="%1)"/>
      <w:lvlJc w:val="left"/>
      <w:pPr>
        <w:ind w:left="425" w:hanging="425"/>
      </w:pPr>
      <w:rPr>
        <w:rFonts w:hint="default"/>
      </w:rPr>
    </w:lvl>
  </w:abstractNum>
  <w:abstractNum w:abstractNumId="28">
    <w:nsid w:val="604F47F1"/>
    <w:multiLevelType w:val="singleLevel"/>
    <w:tmpl w:val="604F47F1"/>
    <w:lvl w:ilvl="0" w:tentative="0">
      <w:start w:val="1"/>
      <w:numFmt w:val="decimal"/>
      <w:lvlText w:val="%1)"/>
      <w:lvlJc w:val="left"/>
      <w:pPr>
        <w:ind w:left="425" w:hanging="425"/>
      </w:pPr>
      <w:rPr>
        <w:rFonts w:hint="default"/>
      </w:rPr>
    </w:lvl>
  </w:abstractNum>
  <w:abstractNum w:abstractNumId="29">
    <w:nsid w:val="604F4803"/>
    <w:multiLevelType w:val="singleLevel"/>
    <w:tmpl w:val="604F4803"/>
    <w:lvl w:ilvl="0" w:tentative="0">
      <w:start w:val="1"/>
      <w:numFmt w:val="decimal"/>
      <w:lvlText w:val="%1)"/>
      <w:lvlJc w:val="left"/>
      <w:pPr>
        <w:ind w:left="425" w:hanging="425"/>
      </w:pPr>
      <w:rPr>
        <w:rFonts w:hint="default"/>
      </w:rPr>
    </w:lvl>
  </w:abstractNum>
  <w:abstractNum w:abstractNumId="30">
    <w:nsid w:val="604F4817"/>
    <w:multiLevelType w:val="singleLevel"/>
    <w:tmpl w:val="604F4817"/>
    <w:lvl w:ilvl="0" w:tentative="0">
      <w:start w:val="1"/>
      <w:numFmt w:val="decimal"/>
      <w:lvlText w:val="%1)"/>
      <w:lvlJc w:val="left"/>
      <w:pPr>
        <w:ind w:left="425" w:hanging="425"/>
      </w:pPr>
      <w:rPr>
        <w:rFonts w:hint="default"/>
      </w:rPr>
    </w:lvl>
  </w:abstractNum>
  <w:abstractNum w:abstractNumId="31">
    <w:nsid w:val="604F4829"/>
    <w:multiLevelType w:val="singleLevel"/>
    <w:tmpl w:val="604F4829"/>
    <w:lvl w:ilvl="0" w:tentative="0">
      <w:start w:val="1"/>
      <w:numFmt w:val="decimal"/>
      <w:lvlText w:val="%1)"/>
      <w:lvlJc w:val="left"/>
      <w:pPr>
        <w:ind w:left="425" w:hanging="425"/>
      </w:pPr>
      <w:rPr>
        <w:rFonts w:hint="default"/>
      </w:rPr>
    </w:lvl>
  </w:abstractNum>
  <w:abstractNum w:abstractNumId="32">
    <w:nsid w:val="604F485B"/>
    <w:multiLevelType w:val="singleLevel"/>
    <w:tmpl w:val="604F485B"/>
    <w:lvl w:ilvl="0" w:tentative="0">
      <w:start w:val="1"/>
      <w:numFmt w:val="chineseCounting"/>
      <w:suff w:val="nothing"/>
      <w:lvlText w:val="（%1）"/>
      <w:lvlJc w:val="left"/>
      <w:pPr>
        <w:ind w:left="-400" w:firstLine="420"/>
      </w:pPr>
      <w:rPr>
        <w:rFonts w:hint="eastAsia"/>
      </w:rPr>
    </w:lvl>
  </w:abstractNum>
  <w:abstractNum w:abstractNumId="33">
    <w:nsid w:val="604F48F6"/>
    <w:multiLevelType w:val="singleLevel"/>
    <w:tmpl w:val="604F48F6"/>
    <w:lvl w:ilvl="0" w:tentative="0">
      <w:start w:val="1"/>
      <w:numFmt w:val="decimal"/>
      <w:suff w:val="nothing"/>
      <w:lvlText w:val="%1．"/>
      <w:lvlJc w:val="left"/>
      <w:pPr>
        <w:ind w:left="0" w:firstLine="400"/>
      </w:pPr>
      <w:rPr>
        <w:rFonts w:hint="default"/>
      </w:rPr>
    </w:lvl>
  </w:abstractNum>
  <w:abstractNum w:abstractNumId="34">
    <w:nsid w:val="604F498F"/>
    <w:multiLevelType w:val="singleLevel"/>
    <w:tmpl w:val="604F498F"/>
    <w:lvl w:ilvl="0" w:tentative="0">
      <w:start w:val="1"/>
      <w:numFmt w:val="decimal"/>
      <w:suff w:val="nothing"/>
      <w:lvlText w:val="%1．"/>
      <w:lvlJc w:val="left"/>
      <w:pPr>
        <w:ind w:left="0" w:firstLine="400"/>
      </w:pPr>
      <w:rPr>
        <w:rFonts w:hint="default"/>
      </w:rPr>
    </w:lvl>
  </w:abstractNum>
  <w:abstractNum w:abstractNumId="35">
    <w:nsid w:val="604F49B6"/>
    <w:multiLevelType w:val="singleLevel"/>
    <w:tmpl w:val="604F49B6"/>
    <w:lvl w:ilvl="0" w:tentative="0">
      <w:start w:val="1"/>
      <w:numFmt w:val="chineseCounting"/>
      <w:suff w:val="nothing"/>
      <w:lvlText w:val="（%1）"/>
      <w:lvlJc w:val="left"/>
      <w:pPr>
        <w:ind w:left="0" w:firstLine="420"/>
      </w:pPr>
      <w:rPr>
        <w:rFonts w:hint="eastAsia"/>
      </w:rPr>
    </w:lvl>
  </w:abstractNum>
  <w:abstractNum w:abstractNumId="36">
    <w:nsid w:val="604F49DA"/>
    <w:multiLevelType w:val="singleLevel"/>
    <w:tmpl w:val="604F49DA"/>
    <w:lvl w:ilvl="0" w:tentative="0">
      <w:start w:val="1"/>
      <w:numFmt w:val="decimal"/>
      <w:suff w:val="nothing"/>
      <w:lvlText w:val="%1．"/>
      <w:lvlJc w:val="left"/>
      <w:pPr>
        <w:ind w:left="-190" w:firstLine="400"/>
      </w:pPr>
      <w:rPr>
        <w:rFonts w:hint="default"/>
      </w:rPr>
    </w:lvl>
  </w:abstractNum>
  <w:abstractNum w:abstractNumId="37">
    <w:nsid w:val="604F49F4"/>
    <w:multiLevelType w:val="singleLevel"/>
    <w:tmpl w:val="604F49F4"/>
    <w:lvl w:ilvl="0" w:tentative="0">
      <w:start w:val="1"/>
      <w:numFmt w:val="decimal"/>
      <w:suff w:val="nothing"/>
      <w:lvlText w:val="%1．"/>
      <w:lvlJc w:val="left"/>
      <w:pPr>
        <w:ind w:left="0" w:firstLine="400"/>
      </w:pPr>
      <w:rPr>
        <w:rFonts w:hint="default"/>
      </w:rPr>
    </w:lvl>
  </w:abstractNum>
  <w:abstractNum w:abstractNumId="38">
    <w:nsid w:val="60503891"/>
    <w:multiLevelType w:val="singleLevel"/>
    <w:tmpl w:val="60503891"/>
    <w:lvl w:ilvl="0" w:tentative="0">
      <w:start w:val="1"/>
      <w:numFmt w:val="decimal"/>
      <w:suff w:val="nothing"/>
      <w:lvlText w:val="%1．"/>
      <w:lvlJc w:val="left"/>
      <w:pPr>
        <w:ind w:left="0" w:leftChars="0" w:firstLine="400" w:firstLineChars="0"/>
      </w:pPr>
      <w:rPr>
        <w:rFonts w:hint="default"/>
      </w:rPr>
    </w:lvl>
  </w:abstractNum>
  <w:abstractNum w:abstractNumId="39">
    <w:nsid w:val="605038E6"/>
    <w:multiLevelType w:val="singleLevel"/>
    <w:tmpl w:val="605038E6"/>
    <w:lvl w:ilvl="0" w:tentative="0">
      <w:start w:val="1"/>
      <w:numFmt w:val="decimal"/>
      <w:suff w:val="nothing"/>
      <w:lvlText w:val="%1．"/>
      <w:lvlJc w:val="left"/>
      <w:pPr>
        <w:ind w:left="0" w:leftChars="0" w:firstLine="400" w:firstLineChars="0"/>
      </w:pPr>
      <w:rPr>
        <w:rFonts w:hint="default"/>
      </w:rPr>
    </w:lvl>
  </w:abstractNum>
  <w:abstractNum w:abstractNumId="40">
    <w:nsid w:val="6050393E"/>
    <w:multiLevelType w:val="singleLevel"/>
    <w:tmpl w:val="6050393E"/>
    <w:lvl w:ilvl="0" w:tentative="0">
      <w:start w:val="1"/>
      <w:numFmt w:val="decimal"/>
      <w:suff w:val="nothing"/>
      <w:lvlText w:val="%1．"/>
      <w:lvlJc w:val="left"/>
      <w:pPr>
        <w:ind w:left="0" w:leftChars="0" w:firstLine="400" w:firstLineChars="0"/>
      </w:pPr>
      <w:rPr>
        <w:rFonts w:hint="default"/>
      </w:rPr>
    </w:lvl>
  </w:abstractNum>
  <w:abstractNum w:abstractNumId="41">
    <w:nsid w:val="60503952"/>
    <w:multiLevelType w:val="singleLevel"/>
    <w:tmpl w:val="60503952"/>
    <w:lvl w:ilvl="0" w:tentative="0">
      <w:start w:val="1"/>
      <w:numFmt w:val="decimal"/>
      <w:suff w:val="nothing"/>
      <w:lvlText w:val="%1．"/>
      <w:lvlJc w:val="left"/>
      <w:pPr>
        <w:ind w:left="0" w:leftChars="0" w:firstLine="400" w:firstLineChars="0"/>
      </w:pPr>
      <w:rPr>
        <w:rFonts w:hint="default"/>
      </w:rPr>
    </w:lvl>
  </w:abstractNum>
  <w:abstractNum w:abstractNumId="42">
    <w:nsid w:val="60503970"/>
    <w:multiLevelType w:val="singleLevel"/>
    <w:tmpl w:val="60503970"/>
    <w:lvl w:ilvl="0" w:tentative="0">
      <w:start w:val="1"/>
      <w:numFmt w:val="decimal"/>
      <w:suff w:val="nothing"/>
      <w:lvlText w:val="%1．"/>
      <w:lvlJc w:val="left"/>
      <w:pPr>
        <w:ind w:left="0" w:leftChars="0" w:firstLine="400" w:firstLineChars="0"/>
      </w:pPr>
      <w:rPr>
        <w:rFonts w:hint="default"/>
      </w:rPr>
    </w:lvl>
  </w:abstractNum>
  <w:abstractNum w:abstractNumId="43">
    <w:nsid w:val="60503993"/>
    <w:multiLevelType w:val="singleLevel"/>
    <w:tmpl w:val="60503993"/>
    <w:lvl w:ilvl="0" w:tentative="0">
      <w:start w:val="1"/>
      <w:numFmt w:val="decimal"/>
      <w:suff w:val="nothing"/>
      <w:lvlText w:val="%1．"/>
      <w:lvlJc w:val="left"/>
      <w:pPr>
        <w:ind w:left="0" w:leftChars="0" w:firstLine="400" w:firstLineChars="0"/>
      </w:pPr>
      <w:rPr>
        <w:rFonts w:hint="default"/>
      </w:rPr>
    </w:lvl>
  </w:abstractNum>
  <w:abstractNum w:abstractNumId="44">
    <w:nsid w:val="605039A8"/>
    <w:multiLevelType w:val="singleLevel"/>
    <w:tmpl w:val="605039A8"/>
    <w:lvl w:ilvl="0" w:tentative="0">
      <w:start w:val="1"/>
      <w:numFmt w:val="decimal"/>
      <w:suff w:val="nothing"/>
      <w:lvlText w:val="%1．"/>
      <w:lvlJc w:val="left"/>
      <w:pPr>
        <w:ind w:left="0" w:leftChars="0" w:firstLine="400" w:firstLineChars="0"/>
      </w:pPr>
      <w:rPr>
        <w:rFonts w:hint="default"/>
      </w:rPr>
    </w:lvl>
  </w:abstractNum>
  <w:abstractNum w:abstractNumId="45">
    <w:nsid w:val="6B94682F"/>
    <w:multiLevelType w:val="multilevel"/>
    <w:tmpl w:val="6B94682F"/>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7FE7A9E"/>
    <w:multiLevelType w:val="multilevel"/>
    <w:tmpl w:val="77FE7A9E"/>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38"/>
  </w:num>
  <w:num w:numId="8">
    <w:abstractNumId w:val="8"/>
  </w:num>
  <w:num w:numId="9">
    <w:abstractNumId w:val="9"/>
  </w:num>
  <w:num w:numId="10">
    <w:abstractNumId w:val="10"/>
  </w:num>
  <w:num w:numId="11">
    <w:abstractNumId w:val="39"/>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0"/>
  </w:num>
  <w:num w:numId="19">
    <w:abstractNumId w:val="17"/>
  </w:num>
  <w:num w:numId="20">
    <w:abstractNumId w:val="18"/>
  </w:num>
  <w:num w:numId="21">
    <w:abstractNumId w:val="41"/>
  </w:num>
  <w:num w:numId="22">
    <w:abstractNumId w:val="19"/>
  </w:num>
  <w:num w:numId="23">
    <w:abstractNumId w:val="20"/>
  </w:num>
  <w:num w:numId="24">
    <w:abstractNumId w:val="21"/>
  </w:num>
  <w:num w:numId="25">
    <w:abstractNumId w:val="22"/>
  </w:num>
  <w:num w:numId="26">
    <w:abstractNumId w:val="23"/>
  </w:num>
  <w:num w:numId="27">
    <w:abstractNumId w:val="42"/>
  </w:num>
  <w:num w:numId="28">
    <w:abstractNumId w:val="24"/>
  </w:num>
  <w:num w:numId="29">
    <w:abstractNumId w:val="25"/>
  </w:num>
  <w:num w:numId="30">
    <w:abstractNumId w:val="26"/>
  </w:num>
  <w:num w:numId="31">
    <w:abstractNumId w:val="27"/>
  </w:num>
  <w:num w:numId="32">
    <w:abstractNumId w:val="28"/>
  </w:num>
  <w:num w:numId="33">
    <w:abstractNumId w:val="43"/>
  </w:num>
  <w:num w:numId="34">
    <w:abstractNumId w:val="29"/>
  </w:num>
  <w:num w:numId="35">
    <w:abstractNumId w:val="44"/>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46"/>
  </w:num>
  <w:num w:numId="45">
    <w:abstractNumId w:val="0"/>
  </w:num>
  <w:num w:numId="46">
    <w:abstractNumId w:val="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7"/>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4AAE6"/>
    <w:rsid w:val="394FB81F"/>
    <w:rsid w:val="3E75D501"/>
    <w:rsid w:val="677E8ED5"/>
    <w:rsid w:val="6FE7D017"/>
    <w:rsid w:val="7F5FE05E"/>
    <w:rsid w:val="B37D6143"/>
    <w:rsid w:val="B7CB7A17"/>
    <w:rsid w:val="B97E6A2C"/>
    <w:rsid w:val="BCFF8C8D"/>
    <w:rsid w:val="DBF7D51D"/>
    <w:rsid w:val="DFB29DF2"/>
    <w:rsid w:val="EB9FC4CA"/>
    <w:rsid w:val="ECE51EC4"/>
    <w:rsid w:val="F2F3268F"/>
    <w:rsid w:val="F7ED2BBE"/>
    <w:rsid w:val="FF37657C"/>
    <w:rsid w:val="FF9F1EAC"/>
    <w:rsid w:val="FFF4AA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jc w:val="center"/>
      <w:outlineLvl w:val="0"/>
    </w:pPr>
    <w:rPr>
      <w:b/>
      <w:kern w:val="44"/>
      <w:sz w:val="44"/>
    </w:rPr>
  </w:style>
  <w:style w:type="paragraph" w:styleId="4">
    <w:name w:val="heading 2"/>
    <w:basedOn w:val="1"/>
    <w:next w:val="1"/>
    <w:unhideWhenUsed/>
    <w:qFormat/>
    <w:uiPriority w:val="0"/>
    <w:pPr>
      <w:keepNext/>
      <w:keepLines/>
      <w:adjustRightInd w:val="0"/>
      <w:spacing w:before="240" w:line="360" w:lineRule="auto"/>
      <w:jc w:val="center"/>
      <w:textAlignment w:val="baseline"/>
      <w:outlineLvl w:val="1"/>
    </w:pPr>
    <w:rPr>
      <w:rFonts w:ascii="Arial" w:hAnsi="Arial" w:eastAsia="黑体"/>
      <w:b/>
      <w:kern w:val="0"/>
      <w:sz w:val="30"/>
    </w:rPr>
  </w:style>
  <w:style w:type="paragraph" w:styleId="5">
    <w:name w:val="heading 3"/>
    <w:basedOn w:val="1"/>
    <w:next w:val="1"/>
    <w:qFormat/>
    <w:uiPriority w:val="9"/>
    <w:pPr>
      <w:spacing w:before="260" w:after="260" w:line="408"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7">
    <w:name w:val="Normal Indent"/>
    <w:basedOn w:val="1"/>
    <w:qFormat/>
    <w:uiPriority w:val="0"/>
    <w:pPr>
      <w:spacing w:before="0" w:beforeAutospacing="0" w:after="0" w:afterAutospacing="0"/>
      <w:ind w:left="0" w:right="0" w:firstLine="420"/>
      <w:jc w:val="left"/>
    </w:pPr>
    <w:rPr>
      <w:rFonts w:hint="default" w:ascii="Calibri" w:hAnsi="Calibri" w:eastAsia="宋体" w:cs="Times New Roman"/>
      <w:kern w:val="2"/>
      <w:lang w:val="en-US" w:eastAsia="zh-CN" w:bidi="ar"/>
    </w:rPr>
  </w:style>
  <w:style w:type="paragraph" w:styleId="8">
    <w:name w:val="annotation text"/>
    <w:basedOn w:val="1"/>
    <w:qFormat/>
    <w:uiPriority w:val="0"/>
    <w:pPr>
      <w:adjustRightInd w:val="0"/>
      <w:spacing w:line="360" w:lineRule="atLeast"/>
      <w:textAlignment w:val="baseline"/>
    </w:pPr>
    <w:rPr>
      <w:kern w:val="0"/>
      <w:sz w:val="24"/>
    </w:rPr>
  </w:style>
  <w:style w:type="paragraph" w:styleId="9">
    <w:name w:val="Plain Text"/>
    <w:basedOn w:val="1"/>
    <w:qFormat/>
    <w:uiPriority w:val="0"/>
    <w:rPr>
      <w:rFonts w:ascii="宋体" w:hAnsi="Courier New"/>
    </w:rPr>
  </w:style>
  <w:style w:type="paragraph" w:styleId="10">
    <w:name w:val="Body Text 2"/>
    <w:basedOn w:val="1"/>
    <w:qFormat/>
    <w:uiPriority w:val="0"/>
    <w:rPr>
      <w:rFonts w:ascii="仿宋_GB2312" w:hAnsi="宋体" w:eastAsia="仿宋_GB2312"/>
    </w:rPr>
  </w:style>
  <w:style w:type="paragraph" w:styleId="11">
    <w:name w:val="Title"/>
    <w:basedOn w:val="1"/>
    <w:next w:val="1"/>
    <w:qFormat/>
    <w:uiPriority w:val="0"/>
    <w:pPr>
      <w:spacing w:line="360" w:lineRule="auto"/>
      <w:jc w:val="center"/>
      <w:outlineLvl w:val="0"/>
    </w:pPr>
    <w:rPr>
      <w:rFonts w:ascii="黑体" w:hAnsi="Arial" w:eastAsia="黑体" w:cs="Arial"/>
      <w:b/>
      <w:bCs/>
      <w:sz w:val="32"/>
      <w:szCs w:val="32"/>
    </w:rPr>
  </w:style>
  <w:style w:type="paragraph" w:customStyle="1" w:styleId="14">
    <w:name w:val="正文1"/>
    <w:basedOn w:val="11"/>
    <w:next w:val="1"/>
    <w:qFormat/>
    <w:uiPriority w:val="0"/>
    <w:pPr>
      <w:widowControl/>
      <w:tabs>
        <w:tab w:val="left" w:pos="780"/>
        <w:tab w:val="left" w:pos="1985"/>
      </w:tabs>
      <w:autoSpaceDE w:val="0"/>
      <w:autoSpaceDN w:val="0"/>
      <w:spacing w:line="500" w:lineRule="exact"/>
      <w:jc w:val="both"/>
      <w:outlineLvl w:val="9"/>
    </w:pPr>
    <w:rPr>
      <w:rFonts w:ascii="Cambria" w:hAnsi="Cambria" w:eastAsia="宋体" w:cs="Times New Roman"/>
      <w:b w:val="0"/>
      <w:snapToGrid w:val="0"/>
      <w:sz w:val="24"/>
      <w:szCs w:val="20"/>
    </w:rPr>
  </w:style>
  <w:style w:type="paragraph" w:customStyle="1" w:styleId="15">
    <w:name w:val="样式 左侧:  0.74 厘米1"/>
    <w:basedOn w:val="1"/>
    <w:qFormat/>
    <w:uiPriority w:val="0"/>
    <w:pPr>
      <w:ind w:left="620" w:hanging="200" w:hangingChars="200"/>
    </w:pPr>
    <w:rPr>
      <w:rFonts w:cs="宋体"/>
    </w:rPr>
  </w:style>
  <w:style w:type="character" w:customStyle="1" w:styleId="16">
    <w:name w:val="10"/>
    <w:basedOn w:val="13"/>
    <w:uiPriority w:val="0"/>
    <w:rPr>
      <w:rFonts w:hint="default" w:ascii="仿宋_GB2312" w:eastAsia="仿宋_GB2312" w:cs="仿宋_GB2312"/>
    </w:rPr>
  </w:style>
  <w:style w:type="character" w:customStyle="1" w:styleId="17">
    <w:name w:val="18"/>
    <w:basedOn w:val="13"/>
    <w:uiPriority w:val="0"/>
    <w:rPr>
      <w:rFonts w:hint="default" w:ascii="仿宋_GB2312" w:eastAsia="仿宋_GB2312" w:cs="仿宋_GB2312"/>
      <w:color w:val="000000"/>
      <w:sz w:val="24"/>
      <w:szCs w:val="24"/>
    </w:rPr>
  </w:style>
  <w:style w:type="character" w:customStyle="1" w:styleId="18">
    <w:name w:val="15"/>
    <w:basedOn w:val="13"/>
    <w:qFormat/>
    <w:uiPriority w:val="0"/>
    <w:rPr>
      <w:rFonts w:hint="default" w:ascii="仿宋_GB2312" w:eastAsia="仿宋_GB2312" w:cs="仿宋_GB2312"/>
      <w:color w:val="000000"/>
      <w:sz w:val="24"/>
      <w:szCs w:val="24"/>
    </w:rPr>
  </w:style>
  <w:style w:type="paragraph" w:customStyle="1" w:styleId="19">
    <w:name w:val="文档正文"/>
    <w:basedOn w:val="1"/>
    <w:qFormat/>
    <w:uiPriority w:val="0"/>
    <w:pPr>
      <w:keepNext w:val="0"/>
      <w:keepLines w:val="0"/>
      <w:widowControl w:val="0"/>
      <w:suppressLineNumbers w:val="0"/>
      <w:adjustRightInd w:val="0"/>
      <w:spacing w:before="0" w:beforeAutospacing="0" w:after="0" w:afterAutospacing="0" w:line="480" w:lineRule="atLeast"/>
      <w:ind w:left="0" w:right="0" w:firstLine="567" w:firstLineChars="200"/>
      <w:jc w:val="both"/>
      <w:textAlignment w:val="baseline"/>
    </w:pPr>
    <w:rPr>
      <w:rFonts w:hint="default" w:ascii="长城仿宋" w:hAnsi="Times New Roman" w:eastAsia="宋体" w:cs="Times New Roman"/>
      <w:kern w:val="0"/>
      <w:sz w:val="21"/>
      <w:szCs w:val="21"/>
      <w:lang w:val="en-US" w:eastAsia="zh-CN" w:bidi="ar"/>
    </w:rPr>
  </w:style>
  <w:style w:type="character" w:customStyle="1" w:styleId="20">
    <w:name w:val="16"/>
    <w:basedOn w:val="13"/>
    <w:qFormat/>
    <w:uiPriority w:val="0"/>
    <w:rPr>
      <w:rFonts w:hint="default" w:ascii="仿宋_GB2312" w:eastAsia="仿宋_GB2312" w:cs="仿宋_GB2312"/>
      <w:color w:val="000000"/>
      <w:sz w:val="24"/>
      <w:szCs w:val="24"/>
      <w:u w:val="single"/>
    </w:rPr>
  </w:style>
  <w:style w:type="character" w:customStyle="1" w:styleId="21">
    <w:name w:val="17"/>
    <w:basedOn w:val="13"/>
    <w:qFormat/>
    <w:uiPriority w:val="0"/>
    <w:rPr>
      <w:rFonts w:hint="default"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2022-12-28T06:43:00Z</dcterms:created>
  <dc:creator>yyyulu</dc:creator>
  <cp:lastModifiedBy>yyyulu</cp:lastModifiedBy>
  <dcterms:modified xsi:type="dcterms:W3CDTF">2022-12-29T18:08:08Z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BC90D461EE3187211894AA63BDCF0534</vt:lpwstr>
  </property>
</Properties>
</file>